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hypotheses, data, analysis, and/or conclusions in texts (11.RI.1.B)</w:t>
      </w:r>
      <w:r>
        <w:t xml:space="preserve"> — improved from 42% to 58%, a gain of 16 points.</w:t>
      </w:r>
    </w:p>
    <w:p>
      <w:pPr>
        <w:spacing w:after="100"/>
      </w:pPr>
      <w:r>
        <w:rPr>
          <w:b/>
          <w:bCs/>
        </w:rPr>
        <w:t xml:space="preserve">Analyze the author's purpose and impact of literary techniques in a text (10.RI.2.C)</w:t>
      </w:r>
      <w:r>
        <w:t xml:space="preserve"> — jumped from 60% to 72%, a gain of 13 points.</w:t>
      </w:r>
    </w:p>
    <w:p>
      <w:pPr>
        <w:spacing w:after="200"/>
      </w:pPr>
      <w:r>
        <w:rPr>
          <w:b/>
          <w:bCs/>
        </w:rPr>
        <w:t xml:space="preserve">Analyze the development of a theme in a literary text (9.RL.1.A)</w:t>
      </w:r>
      <w:r>
        <w:t xml:space="preserve"> — moved from 52% to 64%, a gain of 12 points.</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 significantly—below our instructional target for all students and for students with disabilities. The district-provided SDBQ for SY2526 reflects only five MLL students who took the assessment at MHS, so MLL figures are shown as counts rather than as trends.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MLL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52%, SWD 41%, MLL 32% (8 of 25 responses). This is our lowest-performing high-volume standard. Students can recognize details, but they struggle to distinguish which ones actually support an argument versus contradict it.</w:t>
      </w:r>
    </w:p>
    <w:p>
      <w:pPr>
        <w:spacing w:after="100"/>
      </w:pPr>
      <w:r>
        <w:rPr>
          <w:b/>
          <w:bCs/>
        </w:rPr>
        <w:t xml:space="preserve">Two: Analyze the author's purpose and impact of literary techniques in a text (11.RI.2.C)</w:t>
      </w:r>
    </w:p>
    <w:p>
      <w:pPr>
        <w:spacing w:after="200"/>
      </w:pPr>
      <w:r>
        <w:t xml:space="preserve">All students 36%, SWD 20%, MLL 5 of 5 on a single low-difficulty item. This standard experienced the steepest decline from last year. All students and SWD are significantly underperforming. Students struggle to connect authorial choices to their impact on meaning.</w:t>
      </w:r>
    </w:p>
    <w:p>
      <w:pPr>
        <w:spacing w:after="100"/>
      </w:pPr>
      <w:r>
        <w:rPr>
          <w:b/>
          <w:bCs/>
        </w:rPr>
        <w:t xml:space="preserve">Three: Evaluate how word choice, syntax, tone or voice conveys an author's intent and viewpoint (11.RL.2.B)</w:t>
      </w:r>
    </w:p>
    <w:p>
      <w:pPr>
        <w:spacing w:after="400"/>
      </w:pPr>
      <w:r>
        <w:t xml:space="preserve">All students 58%, SWD 41%, MLL 20% (2 of 10 responses). Below target for all students and SWD. Students need systematic practice analyzing the craft choices writers make.</w:t>
      </w:r>
    </w:p>
    <w:p>
      <w:pPr>
        <w:pStyle w:val="Heading3"/>
        <w:spacing w:after="200"/>
      </w:pPr>
      <w:r>
        <w:t xml:space="preserve">TIER 1 RESPONSE</w:t>
      </w:r>
    </w:p>
    <w:p>
      <w:pPr>
        <w:spacing w:after="200"/>
      </w:pPr>
      <w:r>
        <w:t xml:space="preserve">To address these gaps, we're implementing one focused routine per skill in Tier 1:</w:t>
      </w:r>
    </w:p>
    <w:p>
      <w:pPr>
        <w:spacing w:after="200"/>
      </w:pPr>
      <w:r>
        <w:rPr>
          <w:b/>
          <w:bCs/>
        </w:rPr>
        <w:t xml:space="preserve">Claim Check (10.RI.1.C).</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Craft Analysis Routine (11.RI.2.C &amp; 11.RL.2.B).</w:t>
      </w:r>
      <w:r>
        <w:t xml:space="preserve"> Students mark one authorial choice—a word, phrase, or technique. Then they complete: 'The author chose [technique] to [effect on reader]. This reveals [author's intent].' For SWD and MLL, we provide a graphic organizer and sentence starters. This scaffolds the analytical move while keeping rigor.</w:t>
      </w:r>
    </w:p>
    <w:p>
      <w:pPr>
        <w:spacing w:after="400"/>
      </w:pPr>
      <w:r>
        <w:t xml:space="preserve">These routines are embedded daily in our reading instruction, not isolated lessons.</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for all students, SWD, and MLL. MP1 benchmark on all three SOLs. Walkthroughs looking for the routines happening consistently. Monthly PLC review of student work samples.</w:t>
      </w:r>
    </w:p>
    <w:p>
      <w:pPr>
        <w:spacing w:after="400"/>
      </w:pPr>
      <w:r>
        <w:t xml:space="preserve">We're watching the data in real time. If one skill moves faster than others, we adjust. If one population needs more support, we intensify.</w:t>
      </w:r>
    </w:p>
    <w:p>
      <w:pPr>
        <w:pStyle w:val="Heading3"/>
        <w:spacing w:after="200"/>
      </w:pPr>
      <w:r>
        <w:t xml:space="preserve">CLOSE</w:t>
      </w:r>
    </w:p>
    <w:p>
      <w:pPr>
        <w:spacing w:after="200"/>
      </w:pPr>
      <w:r>
        <w:t xml:space="preserve">The pattern is clear: students have foundational knowledge but struggle with reasoning and analyzing author's craft. These routines build that analytical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2026-09-20T22:55:53.834Z</dcterms:created>
  <dcterms:modified xsi:type="dcterms:W3CDTF">2026-09-20T22:55:53.834Z</dcterms:modified>
</cp:coreProperties>
</file>

<file path=docProps/custom.xml><?xml version="1.0" encoding="utf-8"?>
<Properties xmlns="http://schemas.openxmlformats.org/officeDocument/2006/custom-properties" xmlns:vt="http://schemas.openxmlformats.org/officeDocument/2006/docPropsVTypes"/>
</file>