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w:t>
      </w:r>
    </w:p>
    <w:p>
      <w:pPr>
        <w:spacing w:after="200"/>
      </w:pPr>
      <w:r>
        <w:t xml:space="preserve">Good morning. Up 16 points on analyzing an author's data and conclusions. Down 36 points on explaining why an author makes the choices they do. That's our reading data in one sentence.</w:t>
      </w:r>
    </w:p>
    <w:p>
      <w:pPr>
        <w:spacing w:after="200"/>
      </w:pPr>
      <w:r>
        <w:t xml:space="preserve">Overall, based on the SDBQs provided by the district, we held steady, down less than 2 points, but inside that, some standards jumped and some fell hard. Good news first.</w:t>
      </w:r>
    </w:p>
    <w:p>
      <w:pPr>
        <w:spacing w:after="200"/>
      </w:pPr>
      <w:r>
        <w:t xml:space="preserve">Year over year, we improved on three standards:</w:t>
      </w:r>
    </w:p>
    <w:p>
      <w:pPr>
        <w:spacing w:after="100"/>
      </w:pPr>
      <w:r>
        <w:rPr>
          <w:b/>
          <w:bCs/>
        </w:rPr>
        <w:t xml:space="preserve">Analyzing data and conclusions (11.RI.1.B)</w:t>
      </w:r>
      <w:r>
        <w:t xml:space="preserve">: up 16 points.</w:t>
      </w:r>
    </w:p>
    <w:p>
      <w:pPr>
        <w:spacing w:after="100"/>
      </w:pPr>
      <w:r>
        <w:rPr>
          <w:b/>
          <w:bCs/>
        </w:rPr>
        <w:t xml:space="preserve">Author's purpose and technique, grade 10 (10.RI.2.C)</w:t>
      </w:r>
      <w:r>
        <w:t xml:space="preserve">: up 13 points.</w:t>
      </w:r>
    </w:p>
    <w:p>
      <w:pPr>
        <w:spacing w:after="400"/>
      </w:pPr>
      <w:r>
        <w:rPr>
          <w:b/>
          <w:bCs/>
        </w:rPr>
        <w:t xml:space="preserve">Theme (9.RL.1.A)</w:t>
      </w:r>
      <w:r>
        <w:t xml:space="preserve">: up 12 points.</w:t>
      </w:r>
    </w:p>
    <w:p>
      <w:pPr>
        <w:pStyle w:val="Heading3"/>
        <w:spacing w:after="200"/>
      </w:pPr>
      <w:r>
        <w:t xml:space="preserve">TRANSITION</w:t>
      </w:r>
    </w:p>
    <w:p>
      <w:pPr>
        <w:spacing w:after="400"/>
      </w:pPr>
      <w:r>
        <w:t xml:space="preserve">We also have three standards below target for all students and students with disabilities. The district SDBQ shows only five MLL students tested at MHS, so we report their results as counts, not trends. These three are our focus for the first marking period.</w:t>
      </w:r>
    </w:p>
    <w:p>
      <w:pPr>
        <w:pStyle w:val="Heading3"/>
        <w:spacing w:after="200"/>
      </w:pPr>
      <w:r>
        <w:t xml:space="preserve">SIGNIFICANT GAPS</w:t>
      </w:r>
    </w:p>
    <w:p>
      <w:pPr>
        <w:spacing w:after="200"/>
      </w:pPr>
      <w:r>
        <w:t xml:space="preserve">All three gaps sit at the top of Bloom’s taxonomy. The sharpest is evaluation: across the whole test, evaluate questions were 53% correct, down 11 points from last year, while analyze questions held steady at 65%.</w:t>
      </w:r>
    </w:p>
    <w:p>
      <w:pPr>
        <w:spacing w:after="100"/>
      </w:pPr>
      <w:r>
        <w:rPr>
          <w:b/>
          <w:bCs/>
        </w:rPr>
        <w:t xml:space="preserve">One: Using details to support or refute an argument (10.RI.1.C).</w:t>
      </w:r>
    </w:p>
    <w:p>
      <w:pPr>
        <w:spacing w:after="200"/>
      </w:pPr>
      <w:r>
        <w:t xml:space="preserve">All students 52%, SWD 41%, MLL 8 of 25 correct. This is our lowest-scoring high-volume standard. Students can find details but struggle to tell which ones support an argument and which contradict it.</w:t>
      </w:r>
    </w:p>
    <w:p>
      <w:pPr>
        <w:spacing w:after="100"/>
      </w:pPr>
      <w:r>
        <w:rPr>
          <w:b/>
          <w:bCs/>
        </w:rPr>
        <w:t xml:space="preserve">Two: Author's purpose and technique, grade 11 (11.RI.2.C).</w:t>
      </w:r>
    </w:p>
    <w:p>
      <w:pPr>
        <w:spacing w:after="200"/>
      </w:pPr>
      <w:r>
        <w:t xml:space="preserve">All students 36%, SWD 20%, MLL 5 of 5 on one low-difficulty item. This is our steepest drop from last year. Students can name a technique but don’t connect it to its effect.</w:t>
      </w:r>
    </w:p>
    <w:p>
      <w:pPr>
        <w:spacing w:after="100"/>
      </w:pPr>
      <w:r>
        <w:rPr>
          <w:b/>
          <w:bCs/>
        </w:rPr>
        <w:t xml:space="preserve">Three: Word choice and tone (11.RL.2.B).</w:t>
      </w:r>
    </w:p>
    <w:p>
      <w:pPr>
        <w:spacing w:after="400"/>
      </w:pPr>
      <w:r>
        <w:t xml:space="preserve">All students 58%, SWD 41%, MLL 2 of 10 correct. Students need practice explaining how a writer's choices show viewpoint.</w:t>
      </w:r>
    </w:p>
    <w:p>
      <w:pPr>
        <w:pStyle w:val="Heading3"/>
        <w:spacing w:after="200"/>
      </w:pPr>
      <w:r>
        <w:t xml:space="preserve">TIER 1 RESPONSE</w:t>
      </w:r>
    </w:p>
    <w:p>
      <w:pPr>
        <w:spacing w:after="200"/>
      </w:pPr>
      <w:r>
        <w:rPr>
          <w:b/>
          <w:bCs/>
        </w:rPr>
        <w:t xml:space="preserve">Plan.</w:t>
      </w:r>
      <w:r>
        <w:t xml:space="preserve"> Each routine targets one of the three standards. Planning builds in supports for SWD and MLL—organizers, sentence starters, pre-taught vocabulary—and addresses the misconceptions the data shows. Data from each three-week check feeds the next round of planning.</w:t>
      </w:r>
    </w:p>
    <w:p>
      <w:pPr>
        <w:spacing w:after="200"/>
      </w:pPr>
      <w:r>
        <w:rPr>
          <w:b/>
          <w:bCs/>
        </w:rPr>
        <w:t xml:space="preserve">Teach.</w:t>
      </w:r>
      <w:r>
        <w:t xml:space="preserve"> Three routines:</w:t>
      </w:r>
    </w:p>
    <w:p>
      <w:pPr>
        <w:spacing w:after="100"/>
      </w:pPr>
      <w:r>
        <w:rPr>
          <w:b/>
          <w:bCs/>
        </w:rPr>
        <w:t xml:space="preserve">Claim Check (10.RI.1.C).</w:t>
      </w:r>
      <w:r>
        <w:t xml:space="preserve"> Weekly. Students read two short texts on one topic, sort the details that support the claim from those that contradict it, and explain their thinking. The teacher models it first.</w:t>
      </w:r>
    </w:p>
    <w:p>
      <w:pPr>
        <w:spacing w:after="100"/>
      </w:pPr>
      <w:r>
        <w:rPr>
          <w:b/>
          <w:bCs/>
        </w:rPr>
        <w:t xml:space="preserve">Purpose and Technique (11.RI.2.C).</w:t>
      </w:r>
      <w:r>
        <w:t xml:space="preserve"> Students mark one technique and complete: 'The author uses ___ to ___; this shows ___.' Organizers and sentence starters for SWD and MLL.</w:t>
      </w:r>
    </w:p>
    <w:p>
      <w:pPr>
        <w:spacing w:after="400"/>
      </w:pPr>
      <w:r>
        <w:rPr>
          <w:b/>
          <w:bCs/>
        </w:rPr>
        <w:t xml:space="preserve">Word Choice and Tone (11.RL.2.B).</w:t>
      </w:r>
      <w:r>
        <w:t xml:space="preserve"> Daily, five minutes. Students annotate one word or tone choice and explain what it shows about the author's viewpoint.</w:t>
      </w:r>
    </w:p>
    <w:p>
      <w:pPr>
        <w:pStyle w:val="Heading3"/>
        <w:spacing w:after="200"/>
      </w:pPr>
      <w:r>
        <w:t xml:space="preserve">MONITORING</w:t>
      </w:r>
    </w:p>
    <w:p>
      <w:pPr>
        <w:spacing w:after="400"/>
      </w:pPr>
      <w:r>
        <w:rPr>
          <w:b/>
          <w:bCs/>
        </w:rPr>
        <w:t xml:space="preserve">Assess.</w:t>
      </w:r>
      <w:r>
        <w:t xml:space="preserve"> A five-item check on each skill every three weeks, broken out for all students, SWD, and MLL. Feedback to students focuses on their reasoning, not just the answer. Walkthroughs check that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t xml:space="preserve">Our framework is built on a simple belief: we use data to inform all instructional decisions. That is what this plan is. The data showed us three standards where students know the content but struggle with the reasoning. We planned routines aimed at exactly that, we teach them every week, and every three weeks we assess, reflect, and adjust.</w:t>
      </w:r>
    </w:p>
    <w:p>
      <w:pPr>
        <w:spacing w:after="200"/>
      </w:pPr>
      <w:r>
        <w:t xml:space="preserve">We are not lowering the bar for students with disabilities or our multilingual learners. We are giving them what they need to reach it. High expectations, with access for every student.</w:t>
      </w:r>
    </w:p>
    <w:p>
      <w:pPr>
        <w:spacing w:after="200"/>
      </w:pPr>
      <w:r>
        <w:t xml:space="preserve">Our gains show what focused instruction can do. This year, we do it again on these three standards.</w:t>
      </w:r>
    </w:p>
    <w:p>
      <w:pPr>
        <w:spacing w:after="100"/>
      </w:pPr>
      <w:r>
        <w:rPr>
          <w:b/>
          <w:bCs/>
        </w:rPr>
        <w:t xml:space="preserve">The data told us where to aim. The MP1 benchmark will tell us if we hit it.</w:t>
      </w:r>
    </w:p>
    <w:p>
      <w:pPr>
        <w:spacing w:after="200"/>
      </w:pPr>
      <w:r>
        <w:t xml:space="preserve">Questions?</w:t>
      </w:r>
    </w:p>
    <w:p>
      <w:pPr>
        <w:spacing w:before="200"/>
      </w:pPr>
      <w:r>
        <w:t xml:space="preserve">TIMING: about 5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2026-09-30T00:07:44.152Z</dcterms:created>
  <dcterms:modified xsi:type="dcterms:W3CDTF">2026-09-30T00:07:44.153Z</dcterms:modified>
</cp:coreProperties>
</file>

<file path=docProps/custom.xml><?xml version="1.0" encoding="utf-8"?>
<Properties xmlns="http://schemas.openxmlformats.org/officeDocument/2006/custom-properties" xmlns:vt="http://schemas.openxmlformats.org/officeDocument/2006/docPropsVTypes"/>
</file>