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SDBQs provided by the district, we held steady, down less than 2 points. But that average hides real movement, so let me start with the good news.</w:t>
      </w:r>
    </w:p>
    <w:p>
      <w:pPr>
        <w:spacing w:after="400"/>
      </w:pPr>
      <w:r>
        <w:t xml:space="preserve">Our biggest gain is the one I opened with: analyzing an author's data and conclusions (11.RI.1.B), up 16 points. Right behind it, the grade 10 author's purpose and technique standard (10.RI.2.C) rose 13 points, and theme (9.RL.1.A) rose 12. All three are analysis standards, and that fits the bigger picture. Across the whole test, analysis is holding steady.</w:t>
      </w:r>
    </w:p>
    <w:p>
      <w:pPr>
        <w:pStyle w:val="Heading3"/>
        <w:spacing w:after="200"/>
      </w:pPr>
      <w:r>
        <w:t xml:space="preserve">TRANSITION</w:t>
      </w:r>
    </w:p>
    <w:p>
      <w:pPr>
        <w:spacing w:after="400"/>
      </w:pPr>
      <w:r>
        <w:t xml:space="preserve">Not everything held steady. We have three standards below target for all students and for students with disabilities, and those three are our focus for the first marking period. One note before the numbers: the district SDBQ shows only five MLL students tested at MHS, so I will give their results as counts, not trends.</w:t>
      </w:r>
    </w:p>
    <w:p>
      <w:pPr>
        <w:pStyle w:val="Heading3"/>
        <w:spacing w:after="200"/>
      </w:pPr>
      <w:r>
        <w:t xml:space="preserve">SIGNIFICANT GAPS</w:t>
      </w:r>
    </w:p>
    <w:p>
      <w:pPr>
        <w:spacing w:after="200"/>
      </w:pPr>
      <w:r>
        <w:t xml:space="preserve">All three gaps sit at the top of Bloom’s taxonomy, and the pattern shows up when you group the questions by skill. Evaluate questions were 53% correct across the whole test, down 11 points from last year, while analyze questions held steady at 65%. Our students can take a text apart. What they struggle with is judging it.</w:t>
      </w:r>
    </w:p>
    <w:p>
      <w:pPr>
        <w:spacing w:after="200"/>
      </w:pPr>
      <w:r>
        <w:t xml:space="preserve">The first gap is using details to support or refute an argument (10.RI.1.C). It is our lowest-scoring high-volume standard: 52% for all students and 41% for students with disabilities, and our MLL students got 8 of 25 right. Students can find the details. What they cannot yet do reliably is tell which ones support an argument and which ones undercut it.</w:t>
      </w:r>
    </w:p>
    <w:p>
      <w:pPr>
        <w:spacing w:after="200"/>
      </w:pPr>
      <w:r>
        <w:t xml:space="preserve">The second is the grade 11 author's purpose and technique standard (11.RI.2.C), and it is the drop I opened with. All students fell 36 points, to 36%, and students with disabilities are at 20%. Our five MLL students each saw one low-difficulty question on it, and all five got it right. Students can name a technique, but they do not connect it to its effect.</w:t>
      </w:r>
    </w:p>
    <w:p>
      <w:pPr>
        <w:spacing w:after="400"/>
      </w:pPr>
      <w:r>
        <w:t xml:space="preserve">The third is word choice and tone (11.RL.2.B). All students are at 58%, students with disabilities at 41%, and our MLL students got 2 of 10 right. Students need practice explaining how a writer's choices reveal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to 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2026-09-30T00:09:11.781Z</dcterms:created>
  <dcterms:modified xsi:type="dcterms:W3CDTF">2026-09-30T00:09:11.781Z</dcterms:modified>
</cp:coreProperties>
</file>

<file path=docProps/custom.xml><?xml version="1.0" encoding="utf-8"?>
<Properties xmlns="http://schemas.openxmlformats.org/officeDocument/2006/custom-properties" xmlns:vt="http://schemas.openxmlformats.org/officeDocument/2006/docPropsVTypes"/>
</file>