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pPr>
      <w:r>
        <w:t xml:space="preserve">SLIDE 1 PRESENTER SCRIPT</w:t>
      </w:r>
    </w:p>
    <w:p>
      <w:pPr>
        <w:spacing w:after="400"/>
      </w:pPr>
      <w:r>
        <w:rPr>
          <w:b w:val="false"/>
          <w:bCs w:val="false"/>
        </w:rPr>
        <w:t xml:space="preserve">Instructional Response to SOL Data | Menchville High School | EOC Reading Spring 2026</w:t>
      </w:r>
    </w:p>
    <w:p>
      <w:pPr>
        <w:pStyle w:val="Heading3"/>
        <w:spacing w:after="200"/>
      </w:pPr>
      <w:r>
        <w:t xml:space="preserve">OPENING</w:t>
      </w:r>
    </w:p>
    <w:p>
      <w:pPr>
        <w:spacing w:after="200"/>
      </w:pPr>
      <w:r>
        <w:rPr>
          <w:b w:val="false"/>
          <w:bCs w:val="false"/>
        </w:rPr>
        <w:t xml:space="preserve">Good morning. Our students can analyze what they read. Where they struggle is evaluating it. That is our reading story this year.</w:t>
      </w:r>
    </w:p>
    <w:p>
      <w:pPr>
        <w:spacing w:after="400"/>
      </w:pPr>
      <w:r>
        <w:rPr>
          <w:b w:val="false"/>
          <w:bCs w:val="false"/>
        </w:rPr>
        <w:t xml:space="preserve">We use data to inform all instructional decisions, so here is what the district SDBQs show. Overall, we held steady, down less than 2 points, but that average hides big moves. Our biggest gain was analyzing an author's data and conclusions (11.RI.1.B), up 16 points. Analyzing an author's purpose and technique at grade 10 (10.RI.2.C) rose 13, and analyzing how a theme develops (9.RL.1.A) rose 12. All three are analysis skills, and analysis held steady across the test.</w:t>
      </w:r>
    </w:p>
    <w:p>
      <w:pPr>
        <w:pStyle w:val="Heading3"/>
        <w:spacing w:after="200"/>
      </w:pPr>
      <w:r>
        <w:t xml:space="preserve">TRANSITION</w:t>
      </w:r>
    </w:p>
    <w:p>
      <w:pPr>
        <w:spacing w:after="400"/>
      </w:pPr>
      <w:r>
        <w:rPr>
          <w:b w:val="false"/>
          <w:bCs w:val="false"/>
        </w:rPr>
        <w:t xml:space="preserve">Three standards fell below target for all students and SWD, and they are our first marking period focus. The district SDBQ shows only five MLL students tested at MHS, so their percentages reflect a small group, not a trend.</w:t>
      </w:r>
    </w:p>
    <w:p>
      <w:pPr>
        <w:pStyle w:val="Heading3"/>
        <w:spacing w:after="200"/>
      </w:pPr>
      <w:r>
        <w:t xml:space="preserve">SIGNIFICANT GAPS</w:t>
      </w:r>
    </w:p>
    <w:p>
      <w:pPr>
        <w:spacing w:after="200"/>
      </w:pPr>
      <w:r>
        <w:rPr>
          <w:b w:val="false"/>
          <w:bCs w:val="false"/>
        </w:rPr>
        <w:t xml:space="preserve">All three sit at the top of Bloom’s. Evaluate questions fell 9 points to 55%, while analyze questions held at 62%.</w:t>
      </w:r>
    </w:p>
    <w:p>
      <w:pPr>
        <w:spacing w:after="200"/>
      </w:pPr>
      <w:r>
        <w:rPr>
          <w:b w:val="false"/>
          <w:bCs w:val="false"/>
        </w:rPr>
        <w:t xml:space="preserve">First, evaluating details that support or refute an argument (10.RI.1.C): all students 52%, SWD 41%, MLL 32%. Students find details but can’t tell which support the argument and which undercut it.</w:t>
      </w:r>
    </w:p>
    <w:p>
      <w:pPr>
        <w:spacing w:after="200"/>
      </w:pPr>
      <w:r>
        <w:rPr>
          <w:b w:val="false"/>
          <w:bCs w:val="false"/>
        </w:rPr>
        <w:t xml:space="preserve">Second, analyzing an author's purpose and technique at grade 11 (11.RI.2.C): all students 36%, SWD 20%, MLL 100%. That is our steepest drop, 36 points, and the MLL figure is five students on one low-difficulty question. Students name techniques but don’t connect them to their effect.</w:t>
      </w:r>
    </w:p>
    <w:p>
      <w:pPr>
        <w:spacing w:after="400"/>
      </w:pPr>
      <w:r>
        <w:rPr>
          <w:b w:val="false"/>
          <w:bCs w:val="false"/>
        </w:rPr>
        <w:t xml:space="preserve">Third, evaluating how word choice and tone reveal an author's viewpoint (11.RL.2.B): all students 58%, SWD 41%, MLL 20%. Students need practice explaining why those choices matter.</w:t>
      </w:r>
    </w:p>
    <w:p>
      <w:pPr>
        <w:pStyle w:val="Heading3"/>
        <w:spacing w:after="200"/>
      </w:pPr>
      <w:r>
        <w:t xml:space="preserve">TIER 1 RESPONSE</w:t>
      </w:r>
    </w:p>
    <w:p>
      <w:pPr>
        <w:spacing w:after="200"/>
      </w:pPr>
      <w:r>
        <w:rPr>
          <w:b w:val="false"/>
          <w:bCs w:val="false"/>
        </w:rPr>
        <w:t xml:space="preserve">Our Tier 1 response follows Plan, Teach, Assess.</w:t>
      </w:r>
    </w:p>
    <w:p>
      <w:pPr>
        <w:spacing w:after="200"/>
      </w:pPr>
      <w:r>
        <w:rPr>
          <w:b w:val="false"/>
          <w:bCs w:val="false"/>
        </w:rPr>
        <w:t xml:space="preserve">When we plan, we start with the standards. Every lesson is built on standards-driven content and rigor aimed at one of these three skills. We plan differentiated supports up front: organizers, sentence starters, and pre-taught vocabulary for SWD and MLL. Each routine is designed in anticipation of the misconceptions the data showed us: treating any related detail as support for a claim, and naming a technique without explaining its effect. Insights from our three-week checks feed the next round of planning.</w:t>
      </w:r>
    </w:p>
    <w:p>
      <w:pPr>
        <w:spacing w:after="200"/>
      </w:pPr>
      <w:r>
        <w:rPr>
          <w:b w:val="false"/>
          <w:bCs w:val="false"/>
        </w:rPr>
        <w:t xml:space="preserve">When we teach, three routines pair quality content with a consistent instructional strategy:</w:t>
      </w:r>
    </w:p>
    <w:p>
      <w:pPr>
        <w:spacing w:after="100"/>
      </w:pPr>
      <w:r>
        <w:rPr>
          <w:b/>
          <w:bCs/>
        </w:rPr>
        <w:t xml:space="preserve">Claim Check (10.RI.1.C).</w:t>
      </w:r>
      <w:r>
        <w:t xml:space="preserve"> Weekly. Students read two short texts on the same topic, sort the details that support the claim from those that contradict it, and explain their reasoning. The teacher models it first with a think-aloud.</w:t>
      </w:r>
    </w:p>
    <w:p>
      <w:pPr>
        <w:spacing w:after="100"/>
      </w:pPr>
      <w:r>
        <w:rPr>
          <w:b/>
          <w:bCs/>
        </w:rPr>
        <w:t xml:space="preserve">Purpose and Technique (11.RI.2.C).</w:t>
      </w:r>
      <w:r>
        <w:t xml:space="preserve"> Students mark one technique and complete the frame: “The author uses ___ to ___; this shows ___.”</w:t>
      </w:r>
    </w:p>
    <w:p>
      <w:pPr>
        <w:spacing w:after="200"/>
      </w:pPr>
      <w:r>
        <w:rPr>
          <w:b/>
          <w:bCs/>
        </w:rPr>
        <w:t xml:space="preserve">Word Choice and Tone (11.RL.2.B).</w:t>
      </w:r>
      <w:r>
        <w:t xml:space="preserve"> Daily, five minutes. Students annotate one word or tone choice and explain the viewpoint it reveals.</w:t>
      </w:r>
    </w:p>
    <w:p>
      <w:pPr>
        <w:spacing w:after="400"/>
      </w:pPr>
      <w:r>
        <w:rPr>
          <w:b w:val="false"/>
          <w:bCs w:val="false"/>
        </w:rPr>
        <w:t xml:space="preserve">In all three, students do the critical thinking, and the supports create a safe and inclusive environment where every student works on the same rigorous task.</w:t>
      </w:r>
    </w:p>
    <w:p>
      <w:pPr>
        <w:pStyle w:val="Heading3"/>
        <w:spacing w:after="200"/>
      </w:pPr>
      <w:r>
        <w:t xml:space="preserve">MONITORING</w:t>
      </w:r>
    </w:p>
    <w:p>
      <w:pPr>
        <w:spacing w:after="400"/>
      </w:pPr>
      <w:r>
        <w:rPr>
          <w:b w:val="false"/>
          <w:bCs w:val="false"/>
        </w:rPr>
        <w:t xml:space="preserve">When we assess, we are checking learning as it happens. Every three weeks, students take a five-item check on each skill, and we break the results out for all students, SWD, and MLL. Teachers give feedback on students’ reasoning, not just the answer, and use what they see to adjust the next lesson. Walkthroughs confirm the routines are happening, the PLC reviews student work monthly, and the MP1 benchmark covers all three standards. If a skill or a group isn’t moving, we adjust.</w:t>
      </w:r>
    </w:p>
    <w:p>
      <w:pPr>
        <w:pStyle w:val="Heading3"/>
        <w:spacing w:after="200"/>
      </w:pPr>
      <w:r>
        <w:t xml:space="preserve">CLOSE</w:t>
      </w:r>
    </w:p>
    <w:p>
      <w:pPr>
        <w:spacing w:after="200"/>
      </w:pPr>
      <w:r>
        <w:rPr>
          <w:b w:val="false"/>
          <w:bCs w:val="false"/>
        </w:rPr>
        <w:t xml:space="preserve">Plan, Teach, and Assess is the ongoing cycle of effective teaching and learning that occurs in every classroom, every day. All students deserve rigorous, engaging, inclusive, and responsive learning experiences, including our students with disabilities and multilingual learners. We will not lower the bar. We will give them what they need to reach it. That is how we develop minds through high expectations and design for equity and access for all students.</w:t>
      </w:r>
    </w:p>
    <w:p>
      <w:pPr>
        <w:spacing w:after="200"/>
      </w:pPr>
      <w:r>
        <w:rPr>
          <w:b w:val="false"/>
          <w:bCs w:val="false"/>
        </w:rPr>
        <w:t xml:space="preserve">Our students can analyze a text. This year, we teach them to evaluate it.</w:t>
      </w:r>
    </w:p>
    <w:p>
      <w:pPr>
        <w:spacing w:after="100"/>
      </w:pPr>
      <w:r>
        <w:rPr>
          <w:b/>
          <w:bCs/>
        </w:rPr>
        <w:t xml:space="preserve">The data told us where to aim. The MP1 benchmark will tell us if we hit it.</w:t>
      </w:r>
    </w:p>
    <w:p>
      <w:pPr>
        <w:spacing w:after="100"/>
      </w:pPr>
      <w:r>
        <w:rPr>
          <w:b/>
          <w:bCs/>
        </w:rPr>
        <w:t xml:space="preserve">Elevate. Empower. One NNPS.</w:t>
      </w:r>
    </w:p>
    <w:p>
      <w:pPr>
        <w:spacing w:after="200"/>
      </w:pPr>
      <w:r>
        <w:rPr>
          <w:b w:val="false"/>
          <w:bCs w:val="false"/>
        </w:rPr>
        <w:t xml:space="preserve">Questions?</w:t>
      </w:r>
    </w:p>
    <w:p>
      <w:pPr>
        <w:spacing w:before="200"/>
      </w:pPr>
      <w:r>
        <w:t xml:space="preserve">TIMING: about 4 to 5 minutes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2026-09-30T12:05:08.607Z</dcterms:created>
  <dcterms:modified xsi:type="dcterms:W3CDTF">2026-09-30T12:05:08.608Z</dcterms:modified>
</cp:coreProperties>
</file>

<file path=docProps/custom.xml><?xml version="1.0" encoding="utf-8"?>
<Properties xmlns="http://schemas.openxmlformats.org/officeDocument/2006/custom-properties" xmlns:vt="http://schemas.openxmlformats.org/officeDocument/2006/docPropsVTypes"/>
</file>