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Photosynthesis converts light energy into chemical energy stored in glucose.</w:t>
      </w:r>
    </w:p>
    <w:p>
      <w:r>
        <w:t>Chlorophyll inside chloroplasts absorbs sunlight and powers reactions that split water molecules.</w:t>
      </w:r>
    </w:p>
    <w:p>
      <w:r>
        <w:t>The light-dependent reactions produce ATP, NADPH, and oxygen.</w:t>
      </w:r>
    </w:p>
    <w:p>
      <w:r>
        <w:t>The Calvin cycle uses carbon dioxide, ATP, and NADPH to synthesize glucose.</w:t>
      </w:r>
    </w:p>
    <w:p>
      <w:r>
        <w:t>Stomata regulate gas exchange by allowing carbon dioxide in and oxygen out.</w:t>
      </w:r>
    </w:p>
    <w:p>
      <w:r>
        <w:t>Factors that affect the rate of photosynthesis include light intensity, carbon dioxide concentration, temperature, and water availability.</w:t>
      </w:r>
    </w:p>
    <w:p>
      <w:r>
        <w:t>This disposable staging account upload validates auth, upload, Docling extraction, course generation, and question generation through the browser UI.</w:t>
      </w:r>
    </w:p>
    <w:sectPr>
      <w:pgSz w:w="12240" w:h="15840"/>
    </w:sectPr>
  </w:body>
</w:document>
</file>