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Calibri" w:hAnsi="Calibri"/>
          <w:sz w:val="29"/>
        </w:rPr>
      </w:pPr>
      <w:r>
        <w:rPr>
          <w:rFonts w:ascii="Calibri" w:hAnsi="Calibri"/>
          <w:sz w:val="29"/>
        </w:rPr>
        <w:t>Teil A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0 Formalia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Geschäftsbericht Präsidium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2. Anfragen an das Präsidium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Keine.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3. Geschäftsbericht AStA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4. Anfragen an den AStA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5. Dringlichkeitsanträge des AStA</w:t>
      </w:r>
    </w:p>
    <w:p>
      <w:pPr>
        <w:pStyle w:val="Normal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Keine.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6. Aktuelle Stunde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7. Feststellung der endgültigen Fassung des Teils B der Tagesordnung</w:t>
      </w:r>
    </w:p>
    <w:p>
      <w:pPr>
        <w:pStyle w:val="Normal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8. Feststellung der Beschlussfähigkeit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9. Genehmigung der Protokolle der vorangegangenen Sitzungen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  <w:sz w:val="29"/>
        </w:rPr>
      </w:pPr>
      <w:r>
        <w:rPr>
          <w:rFonts w:ascii="Calibri" w:hAnsi="Calibri"/>
          <w:sz w:val="29"/>
        </w:rPr>
        <w:t>Teil B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1 Geschäftsordnung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a) Fortgeltung der alten Geschäftsordnung (V1718-002)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b) Änderungen an der Geschäftsordnung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c) Diskussion über Notwendigkeit von GO-Reform und Satzungsänderungen (V1718-001,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V1718-003)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2 Wahl des StuPa-Präsidiums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3 Wahl des Satzungs- Wahlordnungs- und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Geschäftsordnungsausschusses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4 Wahl des Ausschusses gegen Rechts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5 Wahl des Haushaltsausschusses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6 Wahl des Wirtschaftsrats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7 Wahl des Ältestenrats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a) Verfahren zur Wahl zum Ältestenrat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b) Wahl des Ältestenrats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8 RIS-Wahl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9 Queer-Wahl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10 RBCS-Wahl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11 Alle Frauen*-Wahl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12 Rechenschaftsbericht und Entlastung des amtierenden AStA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a) Rechenschaftsbericht des amtierenden AStA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b) Fragen und Diskussion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c) Entlastung des AStA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13 Wahl des neuen AStA-Vorstandes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a) Diskussion VS-Thesen</w:t>
      </w:r>
    </w:p>
    <w:p>
      <w:pPr>
        <w:pStyle w:val="Normal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b) Wahl des AStA-Vorstandes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14 Bestätigung der AStA-Referent*innen</w:t>
      </w:r>
    </w:p>
    <w:p>
      <w:pPr>
        <w:pStyle w:val="Normal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TOP 15 Verschiedenes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LibreOffice/4.2.6.3$Windows_x86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2017-04-06T15:10:44Z</dcterms:created>
  <dc:language>de-DE</dc:language>
  <cp:revision>0</cp:revision>
</cp:coreProperties>
</file>