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6E7DE" w14:textId="77777777" w:rsidR="002E566C" w:rsidRPr="00825E40" w:rsidRDefault="002E566C" w:rsidP="007A51D8">
      <w:pPr>
        <w:pStyle w:val="Subtitle"/>
      </w:pPr>
      <w:r w:rsidRPr="00825E40">
        <w:t>Physics Department Equity Working Group</w:t>
      </w:r>
    </w:p>
    <w:p w14:paraId="5A9CCFE6" w14:textId="055F5049" w:rsidR="002E566C" w:rsidRDefault="002E566C" w:rsidP="00745A96">
      <w:pPr>
        <w:pStyle w:val="Title"/>
      </w:pPr>
      <w:r>
        <w:t xml:space="preserve">Results and </w:t>
      </w:r>
      <w:r w:rsidR="00790D34">
        <w:t>Rec</w:t>
      </w:r>
      <w:r w:rsidR="00790D34" w:rsidRPr="00825E40">
        <w:t>ommendations</w:t>
      </w:r>
      <w:r w:rsidRPr="00825E40">
        <w:t xml:space="preserve"> from the Project Juno Survey.</w:t>
      </w:r>
    </w:p>
    <w:sdt>
      <w:sdtPr>
        <w:rPr>
          <w:rFonts w:asciiTheme="minorHAnsi" w:eastAsiaTheme="minorEastAsia" w:hAnsiTheme="minorHAnsi" w:cstheme="minorBidi"/>
          <w:b w:val="0"/>
          <w:bCs w:val="0"/>
          <w:color w:val="auto"/>
          <w:sz w:val="22"/>
          <w:szCs w:val="22"/>
          <w:lang w:bidi="ar-SA"/>
        </w:rPr>
        <w:id w:val="1391695624"/>
        <w:docPartObj>
          <w:docPartGallery w:val="Table of Contents"/>
          <w:docPartUnique/>
        </w:docPartObj>
      </w:sdtPr>
      <w:sdtEndPr>
        <w:rPr>
          <w:noProof/>
        </w:rPr>
      </w:sdtEndPr>
      <w:sdtContent>
        <w:p w14:paraId="0E21CCAC" w14:textId="0A9C4E72" w:rsidR="0042628C" w:rsidRDefault="0042628C">
          <w:pPr>
            <w:pStyle w:val="TOCHeading"/>
          </w:pPr>
          <w:r>
            <w:t>Table of Contents</w:t>
          </w:r>
        </w:p>
        <w:p w14:paraId="31BF8619" w14:textId="77777777" w:rsidR="00C517ED" w:rsidRDefault="0042628C">
          <w:pPr>
            <w:pStyle w:val="TOC1"/>
            <w:tabs>
              <w:tab w:val="right" w:pos="9016"/>
            </w:tabs>
            <w:rPr>
              <w:b w:val="0"/>
              <w:noProof/>
              <w:sz w:val="24"/>
              <w:szCs w:val="24"/>
              <w:lang w:val="en-NZ" w:eastAsia="ja-JP"/>
            </w:rPr>
          </w:pPr>
          <w:r>
            <w:rPr>
              <w:b w:val="0"/>
            </w:rPr>
            <w:fldChar w:fldCharType="begin"/>
          </w:r>
          <w:r>
            <w:instrText xml:space="preserve"> TOC \o "1-3" \h \z \u </w:instrText>
          </w:r>
          <w:r>
            <w:rPr>
              <w:b w:val="0"/>
            </w:rPr>
            <w:fldChar w:fldCharType="separate"/>
          </w:r>
          <w:r w:rsidR="00C517ED">
            <w:rPr>
              <w:noProof/>
            </w:rPr>
            <w:t>Preamble</w:t>
          </w:r>
          <w:r w:rsidR="00C517ED">
            <w:rPr>
              <w:noProof/>
            </w:rPr>
            <w:tab/>
          </w:r>
          <w:r w:rsidR="00C517ED">
            <w:rPr>
              <w:noProof/>
            </w:rPr>
            <w:fldChar w:fldCharType="begin"/>
          </w:r>
          <w:r w:rsidR="00C517ED">
            <w:rPr>
              <w:noProof/>
            </w:rPr>
            <w:instrText xml:space="preserve"> PAGEREF _Toc329540718 \h </w:instrText>
          </w:r>
          <w:r w:rsidR="00C517ED">
            <w:rPr>
              <w:noProof/>
            </w:rPr>
          </w:r>
          <w:r w:rsidR="00C517ED">
            <w:rPr>
              <w:noProof/>
            </w:rPr>
            <w:fldChar w:fldCharType="separate"/>
          </w:r>
          <w:r w:rsidR="00C517ED">
            <w:rPr>
              <w:noProof/>
            </w:rPr>
            <w:t>2</w:t>
          </w:r>
          <w:r w:rsidR="00C517ED">
            <w:rPr>
              <w:noProof/>
            </w:rPr>
            <w:fldChar w:fldCharType="end"/>
          </w:r>
        </w:p>
        <w:p w14:paraId="1B884114" w14:textId="77777777" w:rsidR="00C517ED" w:rsidRDefault="00C517ED">
          <w:pPr>
            <w:pStyle w:val="TOC1"/>
            <w:tabs>
              <w:tab w:val="right" w:pos="9016"/>
            </w:tabs>
            <w:rPr>
              <w:b w:val="0"/>
              <w:noProof/>
              <w:sz w:val="24"/>
              <w:szCs w:val="24"/>
              <w:lang w:val="en-NZ" w:eastAsia="ja-JP"/>
            </w:rPr>
          </w:pPr>
          <w:r>
            <w:rPr>
              <w:noProof/>
            </w:rPr>
            <w:t>Survey results</w:t>
          </w:r>
          <w:r>
            <w:rPr>
              <w:noProof/>
            </w:rPr>
            <w:tab/>
          </w:r>
          <w:r>
            <w:rPr>
              <w:noProof/>
            </w:rPr>
            <w:fldChar w:fldCharType="begin"/>
          </w:r>
          <w:r>
            <w:rPr>
              <w:noProof/>
            </w:rPr>
            <w:instrText xml:space="preserve"> PAGEREF _Toc329540719 \h </w:instrText>
          </w:r>
          <w:r>
            <w:rPr>
              <w:noProof/>
            </w:rPr>
          </w:r>
          <w:r>
            <w:rPr>
              <w:noProof/>
            </w:rPr>
            <w:fldChar w:fldCharType="separate"/>
          </w:r>
          <w:r>
            <w:rPr>
              <w:noProof/>
            </w:rPr>
            <w:t>3</w:t>
          </w:r>
          <w:r>
            <w:rPr>
              <w:noProof/>
            </w:rPr>
            <w:fldChar w:fldCharType="end"/>
          </w:r>
        </w:p>
        <w:p w14:paraId="5535677E" w14:textId="77777777" w:rsidR="00C517ED" w:rsidRDefault="00C517ED">
          <w:pPr>
            <w:pStyle w:val="TOC2"/>
            <w:rPr>
              <w:i w:val="0"/>
              <w:noProof/>
              <w:sz w:val="24"/>
              <w:szCs w:val="24"/>
              <w:lang w:val="en-NZ" w:eastAsia="ja-JP"/>
            </w:rPr>
          </w:pPr>
          <w:r w:rsidRPr="00FF29C1">
            <w:rPr>
              <w:b/>
              <w:noProof/>
            </w:rPr>
            <w:t>Principle 1</w:t>
          </w:r>
          <w:r>
            <w:rPr>
              <w:noProof/>
            </w:rPr>
            <w:t>: A robust organisational framework to deliver equality of opportunity and reward.</w:t>
          </w:r>
          <w:r>
            <w:rPr>
              <w:noProof/>
            </w:rPr>
            <w:tab/>
          </w:r>
          <w:r>
            <w:rPr>
              <w:noProof/>
            </w:rPr>
            <w:fldChar w:fldCharType="begin"/>
          </w:r>
          <w:r>
            <w:rPr>
              <w:noProof/>
            </w:rPr>
            <w:instrText xml:space="preserve"> PAGEREF _Toc329540720 \h </w:instrText>
          </w:r>
          <w:r>
            <w:rPr>
              <w:noProof/>
            </w:rPr>
          </w:r>
          <w:r>
            <w:rPr>
              <w:noProof/>
            </w:rPr>
            <w:fldChar w:fldCharType="separate"/>
          </w:r>
          <w:r>
            <w:rPr>
              <w:noProof/>
            </w:rPr>
            <w:t>3</w:t>
          </w:r>
          <w:r>
            <w:rPr>
              <w:noProof/>
            </w:rPr>
            <w:fldChar w:fldCharType="end"/>
          </w:r>
        </w:p>
        <w:p w14:paraId="7CD034B2" w14:textId="77777777" w:rsidR="00C517ED" w:rsidRDefault="00C517ED">
          <w:pPr>
            <w:pStyle w:val="TOC3"/>
            <w:rPr>
              <w:noProof/>
              <w:sz w:val="24"/>
              <w:szCs w:val="24"/>
              <w:lang w:val="en-NZ" w:eastAsia="ja-JP"/>
            </w:rPr>
          </w:pPr>
          <w:r w:rsidRPr="00FF29C1">
            <w:rPr>
              <w:b/>
              <w:noProof/>
            </w:rPr>
            <w:t>1.1</w:t>
          </w:r>
          <w:r>
            <w:rPr>
              <w:noProof/>
            </w:rPr>
            <w:t xml:space="preserve"> Establish an organisational framework:</w:t>
          </w:r>
          <w:r>
            <w:rPr>
              <w:noProof/>
            </w:rPr>
            <w:tab/>
          </w:r>
          <w:r>
            <w:rPr>
              <w:noProof/>
            </w:rPr>
            <w:fldChar w:fldCharType="begin"/>
          </w:r>
          <w:r>
            <w:rPr>
              <w:noProof/>
            </w:rPr>
            <w:instrText xml:space="preserve"> PAGEREF _Toc329540721 \h </w:instrText>
          </w:r>
          <w:r>
            <w:rPr>
              <w:noProof/>
            </w:rPr>
          </w:r>
          <w:r>
            <w:rPr>
              <w:noProof/>
            </w:rPr>
            <w:fldChar w:fldCharType="separate"/>
          </w:r>
          <w:r>
            <w:rPr>
              <w:noProof/>
            </w:rPr>
            <w:t>3</w:t>
          </w:r>
          <w:r>
            <w:rPr>
              <w:noProof/>
            </w:rPr>
            <w:fldChar w:fldCharType="end"/>
          </w:r>
        </w:p>
        <w:p w14:paraId="5A828E64" w14:textId="77777777" w:rsidR="00C517ED" w:rsidRDefault="00C517ED">
          <w:pPr>
            <w:pStyle w:val="TOC3"/>
            <w:rPr>
              <w:noProof/>
              <w:sz w:val="24"/>
              <w:szCs w:val="24"/>
              <w:lang w:val="en-NZ" w:eastAsia="ja-JP"/>
            </w:rPr>
          </w:pPr>
          <w:r w:rsidRPr="00FF29C1">
            <w:rPr>
              <w:b/>
              <w:noProof/>
            </w:rPr>
            <w:t>1.2</w:t>
          </w:r>
          <w:r>
            <w:rPr>
              <w:noProof/>
            </w:rPr>
            <w:t xml:space="preserve"> Monitoring and evidence base</w:t>
          </w:r>
          <w:r>
            <w:rPr>
              <w:noProof/>
            </w:rPr>
            <w:tab/>
          </w:r>
          <w:r>
            <w:rPr>
              <w:noProof/>
            </w:rPr>
            <w:fldChar w:fldCharType="begin"/>
          </w:r>
          <w:r>
            <w:rPr>
              <w:noProof/>
            </w:rPr>
            <w:instrText xml:space="preserve"> PAGEREF _Toc329540722 \h </w:instrText>
          </w:r>
          <w:r>
            <w:rPr>
              <w:noProof/>
            </w:rPr>
          </w:r>
          <w:r>
            <w:rPr>
              <w:noProof/>
            </w:rPr>
            <w:fldChar w:fldCharType="separate"/>
          </w:r>
          <w:r>
            <w:rPr>
              <w:noProof/>
            </w:rPr>
            <w:t>3</w:t>
          </w:r>
          <w:r>
            <w:rPr>
              <w:noProof/>
            </w:rPr>
            <w:fldChar w:fldCharType="end"/>
          </w:r>
        </w:p>
        <w:p w14:paraId="5D9D8ABD" w14:textId="77777777" w:rsidR="00C517ED" w:rsidRDefault="00C517ED">
          <w:pPr>
            <w:pStyle w:val="TOC2"/>
            <w:rPr>
              <w:i w:val="0"/>
              <w:noProof/>
              <w:sz w:val="24"/>
              <w:szCs w:val="24"/>
              <w:lang w:val="en-NZ" w:eastAsia="ja-JP"/>
            </w:rPr>
          </w:pPr>
          <w:r w:rsidRPr="00FF29C1">
            <w:rPr>
              <w:b/>
              <w:noProof/>
            </w:rPr>
            <w:t>Principle 2</w:t>
          </w:r>
          <w:r>
            <w:rPr>
              <w:noProof/>
            </w:rPr>
            <w:t>: Appointment and selection processes and procedures that encourage men and women to apply for academic posts at all levels</w:t>
          </w:r>
          <w:r>
            <w:rPr>
              <w:noProof/>
            </w:rPr>
            <w:tab/>
          </w:r>
          <w:r>
            <w:rPr>
              <w:noProof/>
            </w:rPr>
            <w:fldChar w:fldCharType="begin"/>
          </w:r>
          <w:r>
            <w:rPr>
              <w:noProof/>
            </w:rPr>
            <w:instrText xml:space="preserve"> PAGEREF _Toc329540723 \h </w:instrText>
          </w:r>
          <w:r>
            <w:rPr>
              <w:noProof/>
            </w:rPr>
          </w:r>
          <w:r>
            <w:rPr>
              <w:noProof/>
            </w:rPr>
            <w:fldChar w:fldCharType="separate"/>
          </w:r>
          <w:r>
            <w:rPr>
              <w:noProof/>
            </w:rPr>
            <w:t>5</w:t>
          </w:r>
          <w:r>
            <w:rPr>
              <w:noProof/>
            </w:rPr>
            <w:fldChar w:fldCharType="end"/>
          </w:r>
        </w:p>
        <w:p w14:paraId="7FE04A86" w14:textId="77777777" w:rsidR="00C517ED" w:rsidRDefault="00C517ED">
          <w:pPr>
            <w:pStyle w:val="TOC3"/>
            <w:rPr>
              <w:noProof/>
              <w:sz w:val="24"/>
              <w:szCs w:val="24"/>
              <w:lang w:val="en-NZ" w:eastAsia="ja-JP"/>
            </w:rPr>
          </w:pPr>
          <w:r w:rsidRPr="00FF29C1">
            <w:rPr>
              <w:b/>
              <w:noProof/>
            </w:rPr>
            <w:t>2.1</w:t>
          </w:r>
          <w:r>
            <w:rPr>
              <w:noProof/>
            </w:rPr>
            <w:t xml:space="preserve"> Ensure that processes and procedures are fully inclusive.</w:t>
          </w:r>
          <w:r>
            <w:rPr>
              <w:noProof/>
            </w:rPr>
            <w:tab/>
          </w:r>
          <w:r>
            <w:rPr>
              <w:noProof/>
            </w:rPr>
            <w:fldChar w:fldCharType="begin"/>
          </w:r>
          <w:r>
            <w:rPr>
              <w:noProof/>
            </w:rPr>
            <w:instrText xml:space="preserve"> PAGEREF _Toc329540724 \h </w:instrText>
          </w:r>
          <w:r>
            <w:rPr>
              <w:noProof/>
            </w:rPr>
          </w:r>
          <w:r>
            <w:rPr>
              <w:noProof/>
            </w:rPr>
            <w:fldChar w:fldCharType="separate"/>
          </w:r>
          <w:r>
            <w:rPr>
              <w:noProof/>
            </w:rPr>
            <w:t>5</w:t>
          </w:r>
          <w:r>
            <w:rPr>
              <w:noProof/>
            </w:rPr>
            <w:fldChar w:fldCharType="end"/>
          </w:r>
        </w:p>
        <w:p w14:paraId="5A97FD06" w14:textId="77777777" w:rsidR="00C517ED" w:rsidRDefault="00C517ED">
          <w:pPr>
            <w:pStyle w:val="TOC3"/>
            <w:rPr>
              <w:noProof/>
              <w:sz w:val="24"/>
              <w:szCs w:val="24"/>
              <w:lang w:val="en-NZ" w:eastAsia="ja-JP"/>
            </w:rPr>
          </w:pPr>
          <w:r w:rsidRPr="00FF29C1">
            <w:rPr>
              <w:b/>
              <w:noProof/>
            </w:rPr>
            <w:t>2.2</w:t>
          </w:r>
          <w:r>
            <w:rPr>
              <w:noProof/>
            </w:rPr>
            <w:t xml:space="preserve"> Take positive action to encourage under-represented groups to apply for jobs.</w:t>
          </w:r>
          <w:r>
            <w:rPr>
              <w:noProof/>
            </w:rPr>
            <w:tab/>
          </w:r>
          <w:r>
            <w:rPr>
              <w:noProof/>
            </w:rPr>
            <w:fldChar w:fldCharType="begin"/>
          </w:r>
          <w:r>
            <w:rPr>
              <w:noProof/>
            </w:rPr>
            <w:instrText xml:space="preserve"> PAGEREF _Toc329540725 \h </w:instrText>
          </w:r>
          <w:r>
            <w:rPr>
              <w:noProof/>
            </w:rPr>
          </w:r>
          <w:r>
            <w:rPr>
              <w:noProof/>
            </w:rPr>
            <w:fldChar w:fldCharType="separate"/>
          </w:r>
          <w:r>
            <w:rPr>
              <w:noProof/>
            </w:rPr>
            <w:t>5</w:t>
          </w:r>
          <w:r>
            <w:rPr>
              <w:noProof/>
            </w:rPr>
            <w:fldChar w:fldCharType="end"/>
          </w:r>
        </w:p>
        <w:p w14:paraId="13D2C33F" w14:textId="77777777" w:rsidR="00C517ED" w:rsidRDefault="00C517ED">
          <w:pPr>
            <w:pStyle w:val="TOC2"/>
            <w:rPr>
              <w:i w:val="0"/>
              <w:noProof/>
              <w:sz w:val="24"/>
              <w:szCs w:val="24"/>
              <w:lang w:val="en-NZ" w:eastAsia="ja-JP"/>
            </w:rPr>
          </w:pPr>
          <w:r w:rsidRPr="00FF29C1">
            <w:rPr>
              <w:b/>
              <w:noProof/>
            </w:rPr>
            <w:t>Principle 3</w:t>
          </w:r>
          <w:r>
            <w:rPr>
              <w:noProof/>
            </w:rPr>
            <w:t>: Departmental structures and systems that support and encourage the career progression and promotion of all staff and enable men and women to progress and continue in their careers.</w:t>
          </w:r>
          <w:r>
            <w:rPr>
              <w:noProof/>
            </w:rPr>
            <w:tab/>
          </w:r>
          <w:r>
            <w:rPr>
              <w:noProof/>
            </w:rPr>
            <w:fldChar w:fldCharType="begin"/>
          </w:r>
          <w:r>
            <w:rPr>
              <w:noProof/>
            </w:rPr>
            <w:instrText xml:space="preserve"> PAGEREF _Toc329540726 \h </w:instrText>
          </w:r>
          <w:r>
            <w:rPr>
              <w:noProof/>
            </w:rPr>
          </w:r>
          <w:r>
            <w:rPr>
              <w:noProof/>
            </w:rPr>
            <w:fldChar w:fldCharType="separate"/>
          </w:r>
          <w:r>
            <w:rPr>
              <w:noProof/>
            </w:rPr>
            <w:t>6</w:t>
          </w:r>
          <w:r>
            <w:rPr>
              <w:noProof/>
            </w:rPr>
            <w:fldChar w:fldCharType="end"/>
          </w:r>
        </w:p>
        <w:p w14:paraId="1799093A" w14:textId="77777777" w:rsidR="00C517ED" w:rsidRDefault="00C517ED">
          <w:pPr>
            <w:pStyle w:val="TOC3"/>
            <w:rPr>
              <w:noProof/>
              <w:sz w:val="24"/>
              <w:szCs w:val="24"/>
              <w:lang w:val="en-NZ" w:eastAsia="ja-JP"/>
            </w:rPr>
          </w:pPr>
          <w:r w:rsidRPr="00FF29C1">
            <w:rPr>
              <w:b/>
              <w:noProof/>
            </w:rPr>
            <w:t>3.1</w:t>
          </w:r>
          <w:r>
            <w:rPr>
              <w:noProof/>
            </w:rPr>
            <w:t xml:space="preserve"> Transparent appraisal and development.</w:t>
          </w:r>
          <w:r>
            <w:rPr>
              <w:noProof/>
            </w:rPr>
            <w:tab/>
          </w:r>
          <w:r>
            <w:rPr>
              <w:noProof/>
            </w:rPr>
            <w:fldChar w:fldCharType="begin"/>
          </w:r>
          <w:r>
            <w:rPr>
              <w:noProof/>
            </w:rPr>
            <w:instrText xml:space="preserve"> PAGEREF _Toc329540727 \h </w:instrText>
          </w:r>
          <w:r>
            <w:rPr>
              <w:noProof/>
            </w:rPr>
          </w:r>
          <w:r>
            <w:rPr>
              <w:noProof/>
            </w:rPr>
            <w:fldChar w:fldCharType="separate"/>
          </w:r>
          <w:r>
            <w:rPr>
              <w:noProof/>
            </w:rPr>
            <w:t>6</w:t>
          </w:r>
          <w:r>
            <w:rPr>
              <w:noProof/>
            </w:rPr>
            <w:fldChar w:fldCharType="end"/>
          </w:r>
        </w:p>
        <w:p w14:paraId="6503B888" w14:textId="77777777" w:rsidR="00C517ED" w:rsidRDefault="00C517ED">
          <w:pPr>
            <w:pStyle w:val="TOC3"/>
            <w:rPr>
              <w:noProof/>
              <w:sz w:val="24"/>
              <w:szCs w:val="24"/>
              <w:lang w:val="en-NZ" w:eastAsia="ja-JP"/>
            </w:rPr>
          </w:pPr>
          <w:r w:rsidRPr="00FF29C1">
            <w:rPr>
              <w:b/>
              <w:noProof/>
            </w:rPr>
            <w:t>3.2</w:t>
          </w:r>
          <w:r>
            <w:rPr>
              <w:noProof/>
            </w:rPr>
            <w:t xml:space="preserve"> Transparent promotions processes and procedures</w:t>
          </w:r>
          <w:r>
            <w:rPr>
              <w:noProof/>
            </w:rPr>
            <w:tab/>
          </w:r>
          <w:r>
            <w:rPr>
              <w:noProof/>
            </w:rPr>
            <w:fldChar w:fldCharType="begin"/>
          </w:r>
          <w:r>
            <w:rPr>
              <w:noProof/>
            </w:rPr>
            <w:instrText xml:space="preserve"> PAGEREF _Toc329540728 \h </w:instrText>
          </w:r>
          <w:r>
            <w:rPr>
              <w:noProof/>
            </w:rPr>
          </w:r>
          <w:r>
            <w:rPr>
              <w:noProof/>
            </w:rPr>
            <w:fldChar w:fldCharType="separate"/>
          </w:r>
          <w:r>
            <w:rPr>
              <w:noProof/>
            </w:rPr>
            <w:t>6</w:t>
          </w:r>
          <w:r>
            <w:rPr>
              <w:noProof/>
            </w:rPr>
            <w:fldChar w:fldCharType="end"/>
          </w:r>
        </w:p>
        <w:p w14:paraId="5ACB17AA" w14:textId="77777777" w:rsidR="00C517ED" w:rsidRDefault="00C517ED">
          <w:pPr>
            <w:pStyle w:val="TOC2"/>
            <w:rPr>
              <w:i w:val="0"/>
              <w:noProof/>
              <w:sz w:val="24"/>
              <w:szCs w:val="24"/>
              <w:lang w:val="en-NZ" w:eastAsia="ja-JP"/>
            </w:rPr>
          </w:pPr>
          <w:r w:rsidRPr="00FF29C1">
            <w:rPr>
              <w:b/>
              <w:noProof/>
            </w:rPr>
            <w:t>Principle 4</w:t>
          </w:r>
          <w:r>
            <w:rPr>
              <w:noProof/>
            </w:rPr>
            <w:t>: Departmental organisation, structure, management arrangements, and culture that are open, inclusive and transparent and encourage the participation of all staff</w:t>
          </w:r>
          <w:r>
            <w:rPr>
              <w:noProof/>
            </w:rPr>
            <w:tab/>
          </w:r>
          <w:r>
            <w:rPr>
              <w:noProof/>
            </w:rPr>
            <w:fldChar w:fldCharType="begin"/>
          </w:r>
          <w:r>
            <w:rPr>
              <w:noProof/>
            </w:rPr>
            <w:instrText xml:space="preserve"> PAGEREF _Toc329540729 \h </w:instrText>
          </w:r>
          <w:r>
            <w:rPr>
              <w:noProof/>
            </w:rPr>
          </w:r>
          <w:r>
            <w:rPr>
              <w:noProof/>
            </w:rPr>
            <w:fldChar w:fldCharType="separate"/>
          </w:r>
          <w:r>
            <w:rPr>
              <w:noProof/>
            </w:rPr>
            <w:t>8</w:t>
          </w:r>
          <w:r>
            <w:rPr>
              <w:noProof/>
            </w:rPr>
            <w:fldChar w:fldCharType="end"/>
          </w:r>
        </w:p>
        <w:p w14:paraId="3C57C1EE" w14:textId="77777777" w:rsidR="00C517ED" w:rsidRDefault="00C517ED">
          <w:pPr>
            <w:pStyle w:val="TOC3"/>
            <w:rPr>
              <w:noProof/>
              <w:sz w:val="24"/>
              <w:szCs w:val="24"/>
              <w:lang w:val="en-NZ" w:eastAsia="ja-JP"/>
            </w:rPr>
          </w:pPr>
          <w:r w:rsidRPr="00FF29C1">
            <w:rPr>
              <w:b/>
              <w:noProof/>
            </w:rPr>
            <w:t>4.1</w:t>
          </w:r>
          <w:r>
            <w:rPr>
              <w:noProof/>
            </w:rPr>
            <w:t xml:space="preserve"> Promote an inclusive culture</w:t>
          </w:r>
          <w:r>
            <w:rPr>
              <w:noProof/>
            </w:rPr>
            <w:tab/>
          </w:r>
          <w:r>
            <w:rPr>
              <w:noProof/>
            </w:rPr>
            <w:fldChar w:fldCharType="begin"/>
          </w:r>
          <w:r>
            <w:rPr>
              <w:noProof/>
            </w:rPr>
            <w:instrText xml:space="preserve"> PAGEREF _Toc329540730 \h </w:instrText>
          </w:r>
          <w:r>
            <w:rPr>
              <w:noProof/>
            </w:rPr>
          </w:r>
          <w:r>
            <w:rPr>
              <w:noProof/>
            </w:rPr>
            <w:fldChar w:fldCharType="separate"/>
          </w:r>
          <w:r>
            <w:rPr>
              <w:noProof/>
            </w:rPr>
            <w:t>8</w:t>
          </w:r>
          <w:r>
            <w:rPr>
              <w:noProof/>
            </w:rPr>
            <w:fldChar w:fldCharType="end"/>
          </w:r>
        </w:p>
        <w:p w14:paraId="0DB793E4" w14:textId="77777777" w:rsidR="00C517ED" w:rsidRDefault="00C517ED">
          <w:pPr>
            <w:pStyle w:val="TOC3"/>
            <w:rPr>
              <w:noProof/>
              <w:sz w:val="24"/>
              <w:szCs w:val="24"/>
              <w:lang w:val="en-NZ" w:eastAsia="ja-JP"/>
            </w:rPr>
          </w:pPr>
          <w:r w:rsidRPr="00FF29C1">
            <w:rPr>
              <w:b/>
              <w:noProof/>
            </w:rPr>
            <w:t>4.2</w:t>
          </w:r>
          <w:r>
            <w:rPr>
              <w:noProof/>
            </w:rPr>
            <w:t xml:space="preserve"> Transparent workload allocation model</w:t>
          </w:r>
          <w:r>
            <w:rPr>
              <w:noProof/>
            </w:rPr>
            <w:tab/>
          </w:r>
          <w:r>
            <w:rPr>
              <w:noProof/>
            </w:rPr>
            <w:fldChar w:fldCharType="begin"/>
          </w:r>
          <w:r>
            <w:rPr>
              <w:noProof/>
            </w:rPr>
            <w:instrText xml:space="preserve"> PAGEREF _Toc329540731 \h </w:instrText>
          </w:r>
          <w:r>
            <w:rPr>
              <w:noProof/>
            </w:rPr>
          </w:r>
          <w:r>
            <w:rPr>
              <w:noProof/>
            </w:rPr>
            <w:fldChar w:fldCharType="separate"/>
          </w:r>
          <w:r>
            <w:rPr>
              <w:noProof/>
            </w:rPr>
            <w:t>9</w:t>
          </w:r>
          <w:r>
            <w:rPr>
              <w:noProof/>
            </w:rPr>
            <w:fldChar w:fldCharType="end"/>
          </w:r>
        </w:p>
        <w:p w14:paraId="56B14FCB" w14:textId="77777777" w:rsidR="00C517ED" w:rsidRDefault="00C517ED">
          <w:pPr>
            <w:pStyle w:val="TOC2"/>
            <w:rPr>
              <w:i w:val="0"/>
              <w:noProof/>
              <w:sz w:val="24"/>
              <w:szCs w:val="24"/>
              <w:lang w:val="en-NZ" w:eastAsia="ja-JP"/>
            </w:rPr>
          </w:pPr>
          <w:r w:rsidRPr="00FF29C1">
            <w:rPr>
              <w:b/>
              <w:noProof/>
            </w:rPr>
            <w:t>Principle 5</w:t>
          </w:r>
          <w:r>
            <w:rPr>
              <w:noProof/>
            </w:rPr>
            <w:t>: Flexible approaches and provisions that enable individuals, at all career and life stages, to optimise their contribution to the department, their institution and to STEM.</w:t>
          </w:r>
          <w:r>
            <w:rPr>
              <w:noProof/>
            </w:rPr>
            <w:tab/>
          </w:r>
          <w:r>
            <w:rPr>
              <w:noProof/>
            </w:rPr>
            <w:fldChar w:fldCharType="begin"/>
          </w:r>
          <w:r>
            <w:rPr>
              <w:noProof/>
            </w:rPr>
            <w:instrText xml:space="preserve"> PAGEREF _Toc329540732 \h </w:instrText>
          </w:r>
          <w:r>
            <w:rPr>
              <w:noProof/>
            </w:rPr>
          </w:r>
          <w:r>
            <w:rPr>
              <w:noProof/>
            </w:rPr>
            <w:fldChar w:fldCharType="separate"/>
          </w:r>
          <w:r>
            <w:rPr>
              <w:noProof/>
            </w:rPr>
            <w:t>10</w:t>
          </w:r>
          <w:r>
            <w:rPr>
              <w:noProof/>
            </w:rPr>
            <w:fldChar w:fldCharType="end"/>
          </w:r>
        </w:p>
        <w:p w14:paraId="6B4F00E6" w14:textId="77777777" w:rsidR="00C517ED" w:rsidRDefault="00C517ED">
          <w:pPr>
            <w:pStyle w:val="TOC3"/>
            <w:rPr>
              <w:noProof/>
              <w:sz w:val="24"/>
              <w:szCs w:val="24"/>
              <w:lang w:val="en-NZ" w:eastAsia="ja-JP"/>
            </w:rPr>
          </w:pPr>
          <w:r w:rsidRPr="00FF29C1">
            <w:rPr>
              <w:b/>
              <w:noProof/>
            </w:rPr>
            <w:t>5.1</w:t>
          </w:r>
          <w:r>
            <w:rPr>
              <w:noProof/>
            </w:rPr>
            <w:t xml:space="preserve"> Support and promote flexible working practices</w:t>
          </w:r>
          <w:r>
            <w:rPr>
              <w:noProof/>
            </w:rPr>
            <w:tab/>
          </w:r>
          <w:r>
            <w:rPr>
              <w:noProof/>
            </w:rPr>
            <w:fldChar w:fldCharType="begin"/>
          </w:r>
          <w:r>
            <w:rPr>
              <w:noProof/>
            </w:rPr>
            <w:instrText xml:space="preserve"> PAGEREF _Toc329540733 \h </w:instrText>
          </w:r>
          <w:r>
            <w:rPr>
              <w:noProof/>
            </w:rPr>
          </w:r>
          <w:r>
            <w:rPr>
              <w:noProof/>
            </w:rPr>
            <w:fldChar w:fldCharType="separate"/>
          </w:r>
          <w:r>
            <w:rPr>
              <w:noProof/>
            </w:rPr>
            <w:t>10</w:t>
          </w:r>
          <w:r>
            <w:rPr>
              <w:noProof/>
            </w:rPr>
            <w:fldChar w:fldCharType="end"/>
          </w:r>
        </w:p>
        <w:p w14:paraId="50E275CF" w14:textId="77777777" w:rsidR="00C517ED" w:rsidRDefault="00C517ED">
          <w:pPr>
            <w:pStyle w:val="TOC1"/>
            <w:tabs>
              <w:tab w:val="right" w:pos="9016"/>
            </w:tabs>
            <w:rPr>
              <w:b w:val="0"/>
              <w:noProof/>
              <w:sz w:val="24"/>
              <w:szCs w:val="24"/>
              <w:lang w:val="en-NZ" w:eastAsia="ja-JP"/>
            </w:rPr>
          </w:pPr>
          <w:r>
            <w:rPr>
              <w:noProof/>
            </w:rPr>
            <w:t>Summary</w:t>
          </w:r>
          <w:r>
            <w:rPr>
              <w:noProof/>
            </w:rPr>
            <w:tab/>
          </w:r>
          <w:r>
            <w:rPr>
              <w:noProof/>
            </w:rPr>
            <w:fldChar w:fldCharType="begin"/>
          </w:r>
          <w:r>
            <w:rPr>
              <w:noProof/>
            </w:rPr>
            <w:instrText xml:space="preserve"> PAGEREF _Toc329540734 \h </w:instrText>
          </w:r>
          <w:r>
            <w:rPr>
              <w:noProof/>
            </w:rPr>
          </w:r>
          <w:r>
            <w:rPr>
              <w:noProof/>
            </w:rPr>
            <w:fldChar w:fldCharType="separate"/>
          </w:r>
          <w:r>
            <w:rPr>
              <w:noProof/>
            </w:rPr>
            <w:t>11</w:t>
          </w:r>
          <w:r>
            <w:rPr>
              <w:noProof/>
            </w:rPr>
            <w:fldChar w:fldCharType="end"/>
          </w:r>
        </w:p>
        <w:p w14:paraId="1ACE6297" w14:textId="77777777" w:rsidR="00C517ED" w:rsidRDefault="00C517ED">
          <w:pPr>
            <w:pStyle w:val="TOC1"/>
            <w:tabs>
              <w:tab w:val="right" w:pos="9016"/>
            </w:tabs>
            <w:rPr>
              <w:b w:val="0"/>
              <w:noProof/>
              <w:sz w:val="24"/>
              <w:szCs w:val="24"/>
              <w:lang w:val="en-NZ" w:eastAsia="ja-JP"/>
            </w:rPr>
          </w:pPr>
          <w:r>
            <w:rPr>
              <w:noProof/>
            </w:rPr>
            <w:t>Recommendations</w:t>
          </w:r>
          <w:r>
            <w:rPr>
              <w:noProof/>
            </w:rPr>
            <w:tab/>
          </w:r>
          <w:r>
            <w:rPr>
              <w:noProof/>
            </w:rPr>
            <w:fldChar w:fldCharType="begin"/>
          </w:r>
          <w:r>
            <w:rPr>
              <w:noProof/>
            </w:rPr>
            <w:instrText xml:space="preserve"> PAGEREF _Toc329540735 \h </w:instrText>
          </w:r>
          <w:r>
            <w:rPr>
              <w:noProof/>
            </w:rPr>
          </w:r>
          <w:r>
            <w:rPr>
              <w:noProof/>
            </w:rPr>
            <w:fldChar w:fldCharType="separate"/>
          </w:r>
          <w:r>
            <w:rPr>
              <w:noProof/>
            </w:rPr>
            <w:t>13</w:t>
          </w:r>
          <w:r>
            <w:rPr>
              <w:noProof/>
            </w:rPr>
            <w:fldChar w:fldCharType="end"/>
          </w:r>
        </w:p>
        <w:p w14:paraId="41B59789" w14:textId="5C88E3E9" w:rsidR="0042628C" w:rsidRDefault="0042628C">
          <w:r>
            <w:rPr>
              <w:b/>
              <w:bCs/>
              <w:noProof/>
            </w:rPr>
            <w:fldChar w:fldCharType="end"/>
          </w:r>
        </w:p>
      </w:sdtContent>
    </w:sdt>
    <w:p w14:paraId="0375839A" w14:textId="77777777" w:rsidR="006D4FD5" w:rsidRDefault="006D4FD5" w:rsidP="001534B6">
      <w:pPr>
        <w:pStyle w:val="Heading1"/>
        <w:sectPr w:rsidR="006D4FD5" w:rsidSect="00520044">
          <w:footerReference w:type="even" r:id="rId8"/>
          <w:footerReference w:type="default" r:id="rId9"/>
          <w:pgSz w:w="11906" w:h="16838"/>
          <w:pgMar w:top="1440" w:right="1440" w:bottom="1440" w:left="1440" w:header="709" w:footer="709" w:gutter="0"/>
          <w:cols w:space="708"/>
          <w:docGrid w:linePitch="360"/>
        </w:sectPr>
      </w:pPr>
    </w:p>
    <w:p w14:paraId="605A3949" w14:textId="5618760C" w:rsidR="002E566C" w:rsidRPr="002E566C" w:rsidRDefault="002E566C" w:rsidP="001534B6">
      <w:pPr>
        <w:pStyle w:val="Heading1"/>
      </w:pPr>
      <w:bookmarkStart w:id="0" w:name="_Toc329540718"/>
      <w:r>
        <w:lastRenderedPageBreak/>
        <w:t>Preamble</w:t>
      </w:r>
      <w:bookmarkEnd w:id="0"/>
    </w:p>
    <w:p w14:paraId="0054A161" w14:textId="32588558" w:rsidR="002E566C" w:rsidRDefault="002E566C" w:rsidP="002E566C">
      <w:pPr>
        <w:jc w:val="both"/>
      </w:pPr>
      <w:r>
        <w:t xml:space="preserve">Project Juno is an initiative run by the </w:t>
      </w:r>
      <w:r w:rsidR="009C59A6">
        <w:t xml:space="preserve">UK </w:t>
      </w:r>
      <w:r>
        <w:t xml:space="preserve">Institute of Physics to recognise and reward physics departments that can </w:t>
      </w:r>
      <w:r w:rsidR="00790D34">
        <w:t>demonstrate</w:t>
      </w:r>
      <w:r>
        <w:t xml:space="preserve"> that they have taken action to address the under-representation of women in physics</w:t>
      </w:r>
      <w:r w:rsidR="0029480E">
        <w:t>,</w:t>
      </w:r>
      <w:r>
        <w:t xml:space="preserve"> and to encourage better departmental practises for </w:t>
      </w:r>
      <w:r w:rsidR="007B7EE7">
        <w:t>all genders</w:t>
      </w:r>
      <w:r>
        <w:t xml:space="preserve">. </w:t>
      </w:r>
    </w:p>
    <w:p w14:paraId="49BFC361" w14:textId="634E835E" w:rsidR="002E566C" w:rsidRDefault="004C2E52" w:rsidP="002E566C">
      <w:pPr>
        <w:jc w:val="both"/>
      </w:pPr>
      <w:r>
        <w:t>In October 2017</w:t>
      </w:r>
      <w:r w:rsidR="002E566C">
        <w:t xml:space="preserve"> the Physics Department Equity Working Group surveyed all physics staff on their experiences and perceptions of the department relating to processes, structures, and culture that would support improving gender equity. The questions were based on </w:t>
      </w:r>
      <w:r>
        <w:t xml:space="preserve">October 2015 survey, which was constructed from </w:t>
      </w:r>
      <w:r w:rsidR="002E566C">
        <w:t xml:space="preserve">the Project Juno Checklist – 32 items that correspond to the </w:t>
      </w:r>
      <w:r w:rsidR="009C59A6">
        <w:t xml:space="preserve">five </w:t>
      </w:r>
      <w:r w:rsidR="002E566C">
        <w:t>Project Juno principles and key criteria. Presenting the checklist items as survey questions means that the responses reflect staff perceptions, awareness, and experiences of how the department is performing on the principles and key criteria.</w:t>
      </w:r>
    </w:p>
    <w:p w14:paraId="5CB74278" w14:textId="00DC408F" w:rsidR="002E566C" w:rsidRDefault="00790D34" w:rsidP="0086175C">
      <w:pPr>
        <w:jc w:val="both"/>
      </w:pPr>
      <w:r>
        <w:t>Participation was invited from 61 staff associated with the</w:t>
      </w:r>
      <w:r w:rsidR="00C02E63">
        <w:t xml:space="preserve"> Physics D</w:t>
      </w:r>
      <w:r w:rsidR="00C473D8">
        <w:t xml:space="preserve">epartment, including Post-docs; </w:t>
      </w:r>
      <w:r w:rsidR="00C02E63">
        <w:t>Research F</w:t>
      </w:r>
      <w:r w:rsidR="00C473D8">
        <w:t>ellows;</w:t>
      </w:r>
      <w:r w:rsidR="00C02E63">
        <w:t xml:space="preserve"> Teaching F</w:t>
      </w:r>
      <w:r w:rsidR="00C473D8">
        <w:t>ellows;</w:t>
      </w:r>
      <w:r>
        <w:t xml:space="preserve"> </w:t>
      </w:r>
      <w:r w:rsidR="00C473D8">
        <w:t>and Technical,</w:t>
      </w:r>
      <w:r w:rsidR="00C02E63">
        <w:t xml:space="preserve"> Professional</w:t>
      </w:r>
      <w:r w:rsidR="00C473D8">
        <w:t xml:space="preserve"> and Affiliated</w:t>
      </w:r>
      <w:r w:rsidR="00C02E63">
        <w:t xml:space="preserve"> Staff</w:t>
      </w:r>
      <w:r w:rsidR="00C473D8">
        <w:t xml:space="preserve">. The </w:t>
      </w:r>
      <w:r w:rsidR="0086175C">
        <w:t>last grouping</w:t>
      </w:r>
      <w:r w:rsidR="001F3E12">
        <w:t xml:space="preserve"> includes</w:t>
      </w:r>
      <w:r w:rsidR="00AB13E4">
        <w:t xml:space="preserve"> those </w:t>
      </w:r>
      <w:r w:rsidR="0086175C">
        <w:t xml:space="preserve">staff </w:t>
      </w:r>
      <w:r w:rsidR="00C02E63">
        <w:t xml:space="preserve">listed on the department’s </w:t>
      </w:r>
      <w:r w:rsidR="0086175C">
        <w:t>web</w:t>
      </w:r>
      <w:r w:rsidR="00C02E63">
        <w:t xml:space="preserve">page but </w:t>
      </w:r>
      <w:r w:rsidR="00AB13E4">
        <w:t xml:space="preserve">not </w:t>
      </w:r>
      <w:r w:rsidR="0086175C">
        <w:t>housed</w:t>
      </w:r>
      <w:r w:rsidR="00AB13E4">
        <w:t xml:space="preserve"> within </w:t>
      </w:r>
      <w:r w:rsidR="0086175C">
        <w:t>the department</w:t>
      </w:r>
      <w:r w:rsidR="001F3E12">
        <w:t>,</w:t>
      </w:r>
      <w:r w:rsidR="00B3159C">
        <w:t xml:space="preserve"> and </w:t>
      </w:r>
      <w:r w:rsidR="00C02E63">
        <w:t>other U</w:t>
      </w:r>
      <w:r>
        <w:t>niversity</w:t>
      </w:r>
      <w:r w:rsidR="00336DB7">
        <w:t xml:space="preserve"> employees affiliated with the d</w:t>
      </w:r>
      <w:r>
        <w:t xml:space="preserve">epartment (e.g. through the </w:t>
      </w:r>
      <w:proofErr w:type="spellStart"/>
      <w:r>
        <w:t>CoREs</w:t>
      </w:r>
      <w:proofErr w:type="spellEnd"/>
      <w:r>
        <w:t xml:space="preserve"> </w:t>
      </w:r>
      <w:proofErr w:type="spellStart"/>
      <w:r>
        <w:t>Te</w:t>
      </w:r>
      <w:proofErr w:type="spellEnd"/>
      <w:r>
        <w:t xml:space="preserve"> </w:t>
      </w:r>
      <w:proofErr w:type="spellStart"/>
      <w:r>
        <w:t>Pūnaha</w:t>
      </w:r>
      <w:proofErr w:type="spellEnd"/>
      <w:r>
        <w:t xml:space="preserve"> </w:t>
      </w:r>
      <w:proofErr w:type="spellStart"/>
      <w:r>
        <w:t>Matatini</w:t>
      </w:r>
      <w:proofErr w:type="spellEnd"/>
      <w:r>
        <w:t xml:space="preserve"> and the Dodd-Walls Centre)</w:t>
      </w:r>
      <w:r w:rsidR="0086175C">
        <w:t xml:space="preserve"> and located within floors six and seven of the department</w:t>
      </w:r>
      <w:r>
        <w:t xml:space="preserve">. </w:t>
      </w:r>
      <w:r w:rsidR="007B688F">
        <w:t>46</w:t>
      </w:r>
      <w:r w:rsidR="002E566C">
        <w:t xml:space="preserve"> responses were received.</w:t>
      </w:r>
      <w:r w:rsidR="008365FA">
        <w:t xml:space="preserve"> These were comprised of P</w:t>
      </w:r>
      <w:r w:rsidR="007B688F">
        <w:t xml:space="preserve">rofessional </w:t>
      </w:r>
      <w:r w:rsidR="008365FA">
        <w:t>T</w:t>
      </w:r>
      <w:r w:rsidR="007B688F">
        <w:t xml:space="preserve">eaching </w:t>
      </w:r>
      <w:r w:rsidR="008365FA">
        <w:t>F</w:t>
      </w:r>
      <w:r w:rsidR="007B688F">
        <w:t>ellow</w:t>
      </w:r>
      <w:r w:rsidR="008365FA">
        <w:t>: 2</w:t>
      </w:r>
      <w:r w:rsidR="007B688F">
        <w:t>/4 (2W); Post-doc/Research Fellow: 10/14 (2W, 7M</w:t>
      </w:r>
      <w:r w:rsidR="008365FA">
        <w:t>); Le</w:t>
      </w:r>
      <w:r w:rsidR="007B688F">
        <w:t>cturer/Senior Lecturer: 8/11 (3W, 4</w:t>
      </w:r>
      <w:r w:rsidR="005060F9">
        <w:t>M,</w:t>
      </w:r>
      <w:r w:rsidR="007B688F">
        <w:t xml:space="preserve"> 1T); A-Prof/Prof: 16/18 (2W, 14</w:t>
      </w:r>
      <w:r w:rsidR="005060F9">
        <w:t xml:space="preserve">M); </w:t>
      </w:r>
      <w:r w:rsidR="00C07081">
        <w:t>Technical/</w:t>
      </w:r>
      <w:r w:rsidR="005060F9">
        <w:t>Professional</w:t>
      </w:r>
      <w:r w:rsidR="00A52D4C">
        <w:t>/Affiliated</w:t>
      </w:r>
      <w:r w:rsidR="005060F9">
        <w:t xml:space="preserve"> Staff: 10</w:t>
      </w:r>
      <w:r w:rsidR="007B688F">
        <w:t>/14</w:t>
      </w:r>
      <w:r w:rsidR="005060F9">
        <w:t xml:space="preserve"> (</w:t>
      </w:r>
      <w:r w:rsidR="007B688F">
        <w:t>7W, 3M</w:t>
      </w:r>
      <w:r w:rsidR="005060F9">
        <w:t>).</w:t>
      </w:r>
      <w:r w:rsidR="00A52D4C">
        <w:t xml:space="preserve"> </w:t>
      </w:r>
    </w:p>
    <w:p w14:paraId="7D7DE2D6" w14:textId="567FC501" w:rsidR="002E566C" w:rsidRDefault="002E566C" w:rsidP="002E566C">
      <w:pPr>
        <w:jc w:val="both"/>
      </w:pPr>
      <w:r>
        <w:t xml:space="preserve">Each question </w:t>
      </w:r>
      <w:r w:rsidR="00790D34">
        <w:t>presented</w:t>
      </w:r>
      <w:r>
        <w:t xml:space="preserve"> respondents with a statement corresponding to an item on the Project Juno checklist and asked </w:t>
      </w:r>
      <w:r w:rsidR="00790D34">
        <w:t>respondents</w:t>
      </w:r>
      <w:r>
        <w:t xml:space="preserve"> to rate their </w:t>
      </w:r>
      <w:r w:rsidR="00790D34">
        <w:t>assessment</w:t>
      </w:r>
      <w:r w:rsidR="00B3159C">
        <w:t xml:space="preserve"> of the extent to which the statement was reflected within</w:t>
      </w:r>
      <w:r>
        <w:t xml:space="preserve"> the department, according to a five point scale:</w:t>
      </w:r>
    </w:p>
    <w:p w14:paraId="61742580" w14:textId="77777777" w:rsidR="002E566C" w:rsidRDefault="002E566C" w:rsidP="00A8411F">
      <w:pPr>
        <w:ind w:left="720"/>
        <w:jc w:val="both"/>
      </w:pPr>
      <w:r>
        <w:t xml:space="preserve">A - embedded </w:t>
      </w:r>
    </w:p>
    <w:p w14:paraId="3FCF7FC8" w14:textId="77777777" w:rsidR="002E566C" w:rsidRDefault="002E566C" w:rsidP="00A8411F">
      <w:pPr>
        <w:ind w:left="720"/>
        <w:jc w:val="both"/>
      </w:pPr>
      <w:r>
        <w:t>B - adopted</w:t>
      </w:r>
    </w:p>
    <w:p w14:paraId="16660528" w14:textId="77777777" w:rsidR="002E566C" w:rsidRDefault="002E566C" w:rsidP="00A8411F">
      <w:pPr>
        <w:ind w:left="720"/>
        <w:jc w:val="both"/>
      </w:pPr>
      <w:r>
        <w:t>C - developing</w:t>
      </w:r>
    </w:p>
    <w:p w14:paraId="62E09FC7" w14:textId="77777777" w:rsidR="002E566C" w:rsidRDefault="002E566C" w:rsidP="00A8411F">
      <w:pPr>
        <w:ind w:left="720"/>
        <w:jc w:val="both"/>
      </w:pPr>
      <w:r>
        <w:t>D - compliant</w:t>
      </w:r>
    </w:p>
    <w:p w14:paraId="5E5E83BC" w14:textId="77777777" w:rsidR="002E566C" w:rsidRDefault="002E566C" w:rsidP="00A8411F">
      <w:pPr>
        <w:ind w:left="720"/>
        <w:jc w:val="both"/>
      </w:pPr>
      <w:r>
        <w:t>E - not in place</w:t>
      </w:r>
    </w:p>
    <w:p w14:paraId="6AF0B975" w14:textId="0C922710" w:rsidR="002E566C" w:rsidRDefault="002E566C" w:rsidP="002E566C">
      <w:pPr>
        <w:jc w:val="both"/>
      </w:pPr>
      <w:r>
        <w:t>Each</w:t>
      </w:r>
      <w:r w:rsidR="009F1CC9">
        <w:t xml:space="preserve"> section of</w:t>
      </w:r>
      <w:r>
        <w:t xml:space="preserve"> question</w:t>
      </w:r>
      <w:r w:rsidR="009F1CC9">
        <w:t>s</w:t>
      </w:r>
      <w:r>
        <w:t xml:space="preserve"> also provided an option for respondents to add a </w:t>
      </w:r>
      <w:r w:rsidR="00790D34">
        <w:t>comment</w:t>
      </w:r>
      <w:r>
        <w:t xml:space="preserve"> to elaborate on their response. Most questions received around 5 or 6 comments. Respondents were able to skip questions, but there was no </w:t>
      </w:r>
      <w:r w:rsidR="00B4163F">
        <w:t xml:space="preserve">option to click an </w:t>
      </w:r>
      <w:r>
        <w:t xml:space="preserve">“I don’t know” </w:t>
      </w:r>
      <w:r w:rsidR="00B4163F">
        <w:t>response</w:t>
      </w:r>
      <w:r>
        <w:t xml:space="preserve">. As a consequence, it is </w:t>
      </w:r>
      <w:r w:rsidR="00B4163F">
        <w:t>likely</w:t>
      </w:r>
      <w:r>
        <w:t xml:space="preserve"> that some respondents used a </w:t>
      </w:r>
      <w:r w:rsidR="00790D34">
        <w:t>middling</w:t>
      </w:r>
      <w:r>
        <w:t xml:space="preserve"> response – C – to indicate a “don’t know” or “no perception” response rather than skipping the question.</w:t>
      </w:r>
      <w:r w:rsidR="00BE314A">
        <w:t xml:space="preserve"> This is consistent with the </w:t>
      </w:r>
      <w:r w:rsidR="00F3701C">
        <w:t>low skip rate (around 2—3)</w:t>
      </w:r>
      <w:r w:rsidR="00BE314A">
        <w:t xml:space="preserve"> for each question.</w:t>
      </w:r>
      <w:r w:rsidR="006D3365">
        <w:t xml:space="preserve"> </w:t>
      </w:r>
    </w:p>
    <w:p w14:paraId="3317F42F" w14:textId="6F39986C" w:rsidR="00C517ED" w:rsidRDefault="002E566C" w:rsidP="0038214B">
      <w:pPr>
        <w:jc w:val="both"/>
      </w:pPr>
      <w:r>
        <w:t xml:space="preserve">We report on the responses aggregated to the level of the nine main components covered by the Project Juno principles. We have </w:t>
      </w:r>
      <w:r w:rsidR="00790D34">
        <w:t>summarised</w:t>
      </w:r>
      <w:r>
        <w:t xml:space="preserve"> comments to avoid </w:t>
      </w:r>
      <w:r w:rsidR="00790D34">
        <w:t>identifying</w:t>
      </w:r>
      <w:r>
        <w:t xml:space="preserve"> </w:t>
      </w:r>
      <w:r w:rsidR="00790D34">
        <w:t>individuals</w:t>
      </w:r>
      <w:r w:rsidR="00BF2894">
        <w:t>. F</w:t>
      </w:r>
      <w:r w:rsidR="0038214B">
        <w:t>or each component we include a table with</w:t>
      </w:r>
      <w:r w:rsidR="00BF2894">
        <w:t xml:space="preserve"> quantitative res</w:t>
      </w:r>
      <w:r w:rsidR="00C771B4">
        <w:t>ponses for individual questions</w:t>
      </w:r>
      <w:r w:rsidR="0038214B">
        <w:t>, colour-coded by quintile</w:t>
      </w:r>
      <w:r w:rsidR="00C517ED">
        <w:t>.</w:t>
      </w:r>
      <w:r w:rsidR="0038214B">
        <w:t xml:space="preserve"> </w:t>
      </w:r>
    </w:p>
    <w:p w14:paraId="1FFEA792" w14:textId="77777777" w:rsidR="0038214B" w:rsidRDefault="0038214B" w:rsidP="0038214B">
      <w:pPr>
        <w:jc w:val="both"/>
        <w:sectPr w:rsidR="0038214B" w:rsidSect="00520044">
          <w:pgSz w:w="11906" w:h="16838"/>
          <w:pgMar w:top="1440" w:right="1440" w:bottom="1440" w:left="1440" w:header="709" w:footer="709" w:gutter="0"/>
          <w:cols w:space="708"/>
          <w:docGrid w:linePitch="360"/>
        </w:sectPr>
      </w:pPr>
    </w:p>
    <w:p w14:paraId="576E00DF" w14:textId="54424303" w:rsidR="00CD45BE" w:rsidRPr="00D50E47" w:rsidRDefault="009B4DB0" w:rsidP="00D50E47">
      <w:pPr>
        <w:pStyle w:val="Heading1"/>
      </w:pPr>
      <w:bookmarkStart w:id="1" w:name="_Toc329540719"/>
      <w:r>
        <w:lastRenderedPageBreak/>
        <w:t>Survey results</w:t>
      </w:r>
      <w:bookmarkEnd w:id="1"/>
    </w:p>
    <w:p w14:paraId="055BAEC2" w14:textId="3890E9F3" w:rsidR="002E566C" w:rsidRPr="00745A96" w:rsidRDefault="002E566C" w:rsidP="00745A96">
      <w:pPr>
        <w:pStyle w:val="Heading2"/>
      </w:pPr>
      <w:bookmarkStart w:id="2" w:name="_Toc329540720"/>
      <w:r w:rsidRPr="008C5954">
        <w:rPr>
          <w:b/>
        </w:rPr>
        <w:t>Principle 1</w:t>
      </w:r>
      <w:r w:rsidRPr="00AF2D60">
        <w:t>: A robust organisational framework to deliver equality of opportunity and reward.</w:t>
      </w:r>
      <w:bookmarkEnd w:id="2"/>
    </w:p>
    <w:p w14:paraId="294BED1E" w14:textId="77777777" w:rsidR="002E566C" w:rsidRPr="004C518E" w:rsidRDefault="002E566C" w:rsidP="002E566C">
      <w:pPr>
        <w:pStyle w:val="Heading3"/>
      </w:pPr>
      <w:bookmarkStart w:id="3" w:name="_Toc329540721"/>
      <w:r w:rsidRPr="00D9039D">
        <w:rPr>
          <w:b/>
        </w:rPr>
        <w:t>1.1</w:t>
      </w:r>
      <w:r w:rsidRPr="004C518E">
        <w:t xml:space="preserve"> Establish an organisational framework:</w:t>
      </w:r>
      <w:bookmarkEnd w:id="3"/>
    </w:p>
    <w:p w14:paraId="60D46AEB" w14:textId="74BDC8D4" w:rsidR="002E566C" w:rsidRPr="00533F06" w:rsidRDefault="002E566C" w:rsidP="002E566C">
      <w:pPr>
        <w:jc w:val="both"/>
      </w:pPr>
      <w:r>
        <w:t>Quantitative responses were mostly middling (B</w:t>
      </w:r>
      <w:r w:rsidR="001C2595">
        <w:t xml:space="preserve">: adopted </w:t>
      </w:r>
      <w:r>
        <w:t>-</w:t>
      </w:r>
      <w:r w:rsidR="001C2595">
        <w:t xml:space="preserve"> </w:t>
      </w:r>
      <w:r>
        <w:t>C</w:t>
      </w:r>
      <w:r w:rsidR="001C2595">
        <w:t>: developing</w:t>
      </w:r>
      <w:r>
        <w:t xml:space="preserve">), </w:t>
      </w:r>
      <w:r w:rsidR="00845CF8">
        <w:t xml:space="preserve">and rarely </w:t>
      </w:r>
      <w:proofErr w:type="gramStart"/>
      <w:r w:rsidR="002706C0">
        <w:t>E</w:t>
      </w:r>
      <w:r w:rsidR="001C2595">
        <w:t>(</w:t>
      </w:r>
      <w:proofErr w:type="gramEnd"/>
      <w:r w:rsidR="001C2595">
        <w:t>not in place)</w:t>
      </w:r>
      <w:r>
        <w:t>.</w:t>
      </w:r>
      <w:r w:rsidR="00533F06">
        <w:t xml:space="preserve"> Question 1.1.1a (</w:t>
      </w:r>
      <w:r w:rsidR="00533F06" w:rsidRPr="00533F06">
        <w:rPr>
          <w:i/>
          <w:iCs/>
        </w:rPr>
        <w:t>The Head of Department, or another senior academic, leads and champions good practice for women-in-scie</w:t>
      </w:r>
      <w:r w:rsidR="00533F06">
        <w:rPr>
          <w:i/>
          <w:iCs/>
        </w:rPr>
        <w:t xml:space="preserve">nce initiatives and programmes.) </w:t>
      </w:r>
      <w:r w:rsidR="00533F06" w:rsidRPr="00533F06">
        <w:rPr>
          <w:iCs/>
        </w:rPr>
        <w:t>in particular</w:t>
      </w:r>
      <w:r w:rsidR="00533F06">
        <w:rPr>
          <w:i/>
          <w:iCs/>
        </w:rPr>
        <w:t xml:space="preserve"> </w:t>
      </w:r>
      <w:r w:rsidR="00533F06">
        <w:rPr>
          <w:iCs/>
        </w:rPr>
        <w:t>was rated higher than in the 2015 survey.</w:t>
      </w:r>
    </w:p>
    <w:p w14:paraId="33BF5036" w14:textId="01B9EE1B" w:rsidR="002706C0" w:rsidRDefault="002706C0" w:rsidP="002E566C">
      <w:pPr>
        <w:jc w:val="both"/>
      </w:pPr>
      <w:r>
        <w:t xml:space="preserve">Comments indicated that </w:t>
      </w:r>
      <w:r w:rsidR="007F1A5C">
        <w:t xml:space="preserve">a number of staff had good intentions, and some progress was being made. However, </w:t>
      </w:r>
      <w:r w:rsidR="00D23504">
        <w:t xml:space="preserve">these positive perceptions were all followed by caveats. Primarily, comments indicated that positive changes were </w:t>
      </w:r>
      <w:r w:rsidR="00533F06">
        <w:t xml:space="preserve">fragile and often poorly resourced. Practices were framed as often “adopted”, but rarely “embedded” or </w:t>
      </w:r>
      <w:proofErr w:type="spellStart"/>
      <w:r w:rsidR="00533F06">
        <w:t>proceduralised</w:t>
      </w:r>
      <w:proofErr w:type="spellEnd"/>
      <w:r w:rsidR="00533F06">
        <w:t xml:space="preserve">, which made them particularly vulnerable to disappearing. Moreover, comments indicated that good “talk” needed to be backed up by increased resource allocation, which was presented as currently lacking. Overall, responses indicated that there was support for positive changes, however this support needed to be made more routine </w:t>
      </w:r>
      <w:r w:rsidR="001C2595">
        <w:t>and backed by proper resource allocation to be successful.</w:t>
      </w:r>
    </w:p>
    <w:p w14:paraId="3E061392" w14:textId="6EE1E540" w:rsidR="008F088C" w:rsidRDefault="008F088C" w:rsidP="002E566C">
      <w:pPr>
        <w:jc w:val="both"/>
      </w:pPr>
    </w:p>
    <w:p w14:paraId="2FCC65A6" w14:textId="77777777" w:rsidR="002E566C" w:rsidRPr="002E566C" w:rsidRDefault="002E566C" w:rsidP="002E566C">
      <w:pPr>
        <w:jc w:val="both"/>
        <w:rPr>
          <w:rStyle w:val="Emphasis"/>
        </w:rPr>
      </w:pPr>
      <w:r w:rsidRPr="002E566C">
        <w:rPr>
          <w:rStyle w:val="Emphasis"/>
        </w:rPr>
        <w:t>Quantitative summary:</w:t>
      </w:r>
    </w:p>
    <w:tbl>
      <w:tblPr>
        <w:tblStyle w:val="TableGrid"/>
        <w:tblW w:w="0" w:type="auto"/>
        <w:tblLook w:val="04A0" w:firstRow="1" w:lastRow="0" w:firstColumn="1" w:lastColumn="0" w:noHBand="0" w:noVBand="1"/>
      </w:tblPr>
      <w:tblGrid>
        <w:gridCol w:w="1821"/>
        <w:gridCol w:w="1183"/>
        <w:gridCol w:w="1511"/>
        <w:gridCol w:w="1511"/>
        <w:gridCol w:w="1502"/>
        <w:gridCol w:w="1488"/>
      </w:tblGrid>
      <w:tr w:rsidR="002E566C" w14:paraId="5084D162" w14:textId="77777777" w:rsidTr="00240290">
        <w:tc>
          <w:tcPr>
            <w:tcW w:w="1821" w:type="dxa"/>
          </w:tcPr>
          <w:p w14:paraId="4F645CE8" w14:textId="77777777" w:rsidR="002E566C" w:rsidRDefault="002E566C" w:rsidP="00A8411F">
            <w:pPr>
              <w:jc w:val="both"/>
            </w:pPr>
          </w:p>
        </w:tc>
        <w:tc>
          <w:tcPr>
            <w:tcW w:w="1183" w:type="dxa"/>
          </w:tcPr>
          <w:p w14:paraId="584D14AF" w14:textId="77777777" w:rsidR="002E566C" w:rsidRDefault="002E566C" w:rsidP="00A8411F">
            <w:pPr>
              <w:jc w:val="both"/>
            </w:pPr>
            <w:r>
              <w:t>A</w:t>
            </w:r>
          </w:p>
        </w:tc>
        <w:tc>
          <w:tcPr>
            <w:tcW w:w="1511" w:type="dxa"/>
            <w:tcBorders>
              <w:bottom w:val="single" w:sz="4" w:space="0" w:color="auto"/>
            </w:tcBorders>
          </w:tcPr>
          <w:p w14:paraId="201F66B3" w14:textId="77777777" w:rsidR="002E566C" w:rsidRDefault="002E566C" w:rsidP="00A8411F">
            <w:pPr>
              <w:jc w:val="both"/>
            </w:pPr>
            <w:r>
              <w:t>B</w:t>
            </w:r>
          </w:p>
        </w:tc>
        <w:tc>
          <w:tcPr>
            <w:tcW w:w="1511" w:type="dxa"/>
            <w:tcBorders>
              <w:bottom w:val="single" w:sz="4" w:space="0" w:color="auto"/>
            </w:tcBorders>
          </w:tcPr>
          <w:p w14:paraId="6FB3B4CB" w14:textId="77777777" w:rsidR="002E566C" w:rsidRDefault="002E566C" w:rsidP="00A8411F">
            <w:pPr>
              <w:jc w:val="both"/>
            </w:pPr>
            <w:r>
              <w:t>C</w:t>
            </w:r>
          </w:p>
        </w:tc>
        <w:tc>
          <w:tcPr>
            <w:tcW w:w="1502" w:type="dxa"/>
          </w:tcPr>
          <w:p w14:paraId="5C2BD2CB" w14:textId="77777777" w:rsidR="002E566C" w:rsidRDefault="002E566C" w:rsidP="00A8411F">
            <w:pPr>
              <w:jc w:val="both"/>
            </w:pPr>
            <w:r>
              <w:t>D</w:t>
            </w:r>
          </w:p>
        </w:tc>
        <w:tc>
          <w:tcPr>
            <w:tcW w:w="1488" w:type="dxa"/>
          </w:tcPr>
          <w:p w14:paraId="1842AA1D" w14:textId="77777777" w:rsidR="002E566C" w:rsidRDefault="002E566C" w:rsidP="00A8411F">
            <w:pPr>
              <w:jc w:val="both"/>
            </w:pPr>
            <w:r>
              <w:t>E</w:t>
            </w:r>
          </w:p>
        </w:tc>
      </w:tr>
      <w:tr w:rsidR="002E566C" w14:paraId="1EAC4624" w14:textId="77777777" w:rsidTr="009F1CC9">
        <w:tc>
          <w:tcPr>
            <w:tcW w:w="1821" w:type="dxa"/>
          </w:tcPr>
          <w:p w14:paraId="126174F2" w14:textId="5B27F2A3" w:rsidR="002E566C" w:rsidRDefault="002E566C" w:rsidP="00A8411F">
            <w:pPr>
              <w:jc w:val="both"/>
            </w:pPr>
            <w:r>
              <w:t>Q1</w:t>
            </w:r>
            <w:r w:rsidR="00240290">
              <w:t>a</w:t>
            </w:r>
            <w:r>
              <w:t xml:space="preserve"> (1.1.1</w:t>
            </w:r>
            <w:r w:rsidR="00240290">
              <w:t>a</w:t>
            </w:r>
            <w:r>
              <w:t>)</w:t>
            </w:r>
          </w:p>
        </w:tc>
        <w:tc>
          <w:tcPr>
            <w:tcW w:w="1183" w:type="dxa"/>
            <w:shd w:val="clear" w:color="auto" w:fill="FFFF99"/>
          </w:tcPr>
          <w:p w14:paraId="3FD0214F" w14:textId="30CD6658" w:rsidR="002E566C" w:rsidRDefault="00240290" w:rsidP="00A8411F">
            <w:pPr>
              <w:jc w:val="both"/>
            </w:pPr>
            <w:r>
              <w:t>28</w:t>
            </w:r>
            <w:r w:rsidR="002E566C">
              <w:t>%</w:t>
            </w:r>
          </w:p>
        </w:tc>
        <w:tc>
          <w:tcPr>
            <w:tcW w:w="1511" w:type="dxa"/>
            <w:tcBorders>
              <w:bottom w:val="single" w:sz="4" w:space="0" w:color="auto"/>
            </w:tcBorders>
            <w:shd w:val="clear" w:color="auto" w:fill="FFFF99"/>
          </w:tcPr>
          <w:p w14:paraId="2E9AB2C9" w14:textId="5BFB2660" w:rsidR="002E566C" w:rsidRDefault="00240290" w:rsidP="00A8411F">
            <w:pPr>
              <w:jc w:val="both"/>
            </w:pPr>
            <w:r>
              <w:t>38</w:t>
            </w:r>
            <w:r w:rsidR="002E566C">
              <w:t>%</w:t>
            </w:r>
          </w:p>
        </w:tc>
        <w:tc>
          <w:tcPr>
            <w:tcW w:w="1511" w:type="dxa"/>
            <w:tcBorders>
              <w:bottom w:val="single" w:sz="4" w:space="0" w:color="auto"/>
            </w:tcBorders>
            <w:shd w:val="clear" w:color="auto" w:fill="FFFF99"/>
          </w:tcPr>
          <w:p w14:paraId="7FC98FC0" w14:textId="7FA93851" w:rsidR="002E566C" w:rsidRDefault="00240290" w:rsidP="00A8411F">
            <w:pPr>
              <w:jc w:val="both"/>
            </w:pPr>
            <w:r>
              <w:t>28</w:t>
            </w:r>
            <w:r w:rsidR="002E566C">
              <w:t>%</w:t>
            </w:r>
          </w:p>
        </w:tc>
        <w:tc>
          <w:tcPr>
            <w:tcW w:w="1502" w:type="dxa"/>
          </w:tcPr>
          <w:p w14:paraId="729CA492" w14:textId="201DE7B4" w:rsidR="002E566C" w:rsidRDefault="00240290" w:rsidP="00A8411F">
            <w:pPr>
              <w:jc w:val="both"/>
            </w:pPr>
            <w:r>
              <w:t>8</w:t>
            </w:r>
            <w:r w:rsidR="002E566C">
              <w:t>%</w:t>
            </w:r>
          </w:p>
        </w:tc>
        <w:tc>
          <w:tcPr>
            <w:tcW w:w="1488" w:type="dxa"/>
          </w:tcPr>
          <w:p w14:paraId="7E625D90" w14:textId="77777777" w:rsidR="002E566C" w:rsidRDefault="002E566C" w:rsidP="00A8411F">
            <w:pPr>
              <w:jc w:val="both"/>
            </w:pPr>
            <w:r>
              <w:t>0%</w:t>
            </w:r>
          </w:p>
        </w:tc>
      </w:tr>
      <w:tr w:rsidR="00240290" w14:paraId="53BB5CFE" w14:textId="77777777" w:rsidTr="009F1CC9">
        <w:tc>
          <w:tcPr>
            <w:tcW w:w="1821" w:type="dxa"/>
          </w:tcPr>
          <w:p w14:paraId="2C20F94F" w14:textId="50755293" w:rsidR="00240290" w:rsidRDefault="00240290" w:rsidP="00A8411F">
            <w:pPr>
              <w:jc w:val="both"/>
            </w:pPr>
            <w:r>
              <w:t>Q1b (1.1.1b)</w:t>
            </w:r>
          </w:p>
        </w:tc>
        <w:tc>
          <w:tcPr>
            <w:tcW w:w="1183" w:type="dxa"/>
          </w:tcPr>
          <w:p w14:paraId="08091223" w14:textId="03412D80" w:rsidR="00240290" w:rsidRDefault="00240290" w:rsidP="00A8411F">
            <w:pPr>
              <w:jc w:val="both"/>
            </w:pPr>
            <w:r>
              <w:t>3%</w:t>
            </w:r>
          </w:p>
        </w:tc>
        <w:tc>
          <w:tcPr>
            <w:tcW w:w="1511" w:type="dxa"/>
            <w:tcBorders>
              <w:bottom w:val="single" w:sz="4" w:space="0" w:color="auto"/>
            </w:tcBorders>
            <w:shd w:val="clear" w:color="auto" w:fill="FFFF99"/>
          </w:tcPr>
          <w:p w14:paraId="5F09724C" w14:textId="767B43E4" w:rsidR="00240290" w:rsidRDefault="00240290" w:rsidP="00A8411F">
            <w:pPr>
              <w:jc w:val="both"/>
            </w:pPr>
            <w:r>
              <w:t>38%</w:t>
            </w:r>
          </w:p>
        </w:tc>
        <w:tc>
          <w:tcPr>
            <w:tcW w:w="1511" w:type="dxa"/>
            <w:tcBorders>
              <w:bottom w:val="single" w:sz="4" w:space="0" w:color="auto"/>
            </w:tcBorders>
            <w:shd w:val="clear" w:color="auto" w:fill="FFCC99"/>
          </w:tcPr>
          <w:p w14:paraId="0872C68C" w14:textId="71E86B1A" w:rsidR="00240290" w:rsidRDefault="00240290" w:rsidP="00A8411F">
            <w:pPr>
              <w:jc w:val="both"/>
            </w:pPr>
            <w:r>
              <w:t>54%</w:t>
            </w:r>
          </w:p>
        </w:tc>
        <w:tc>
          <w:tcPr>
            <w:tcW w:w="1502" w:type="dxa"/>
          </w:tcPr>
          <w:p w14:paraId="3637A2C8" w14:textId="7C61BD27" w:rsidR="00240290" w:rsidRDefault="00240290" w:rsidP="00A8411F">
            <w:pPr>
              <w:jc w:val="both"/>
            </w:pPr>
            <w:r>
              <w:t>5%</w:t>
            </w:r>
          </w:p>
        </w:tc>
        <w:tc>
          <w:tcPr>
            <w:tcW w:w="1488" w:type="dxa"/>
          </w:tcPr>
          <w:p w14:paraId="0F6C95CC" w14:textId="4CA272FC" w:rsidR="00240290" w:rsidRDefault="00240290" w:rsidP="00A8411F">
            <w:pPr>
              <w:jc w:val="both"/>
            </w:pPr>
            <w:r>
              <w:t>0%</w:t>
            </w:r>
          </w:p>
        </w:tc>
      </w:tr>
      <w:tr w:rsidR="002E566C" w14:paraId="74E99561" w14:textId="77777777" w:rsidTr="00240290">
        <w:tc>
          <w:tcPr>
            <w:tcW w:w="1821" w:type="dxa"/>
          </w:tcPr>
          <w:p w14:paraId="520B8B0C" w14:textId="77777777" w:rsidR="002E566C" w:rsidRDefault="002E566C" w:rsidP="00A8411F">
            <w:pPr>
              <w:jc w:val="both"/>
            </w:pPr>
            <w:r>
              <w:t>Q2 (1.1.2)</w:t>
            </w:r>
          </w:p>
        </w:tc>
        <w:tc>
          <w:tcPr>
            <w:tcW w:w="1183" w:type="dxa"/>
          </w:tcPr>
          <w:p w14:paraId="1FE23F80" w14:textId="56D1ADE9" w:rsidR="002E566C" w:rsidRDefault="00240290" w:rsidP="00A8411F">
            <w:pPr>
              <w:jc w:val="both"/>
            </w:pPr>
            <w:r>
              <w:t>5</w:t>
            </w:r>
            <w:r w:rsidR="002E566C">
              <w:t>%</w:t>
            </w:r>
          </w:p>
        </w:tc>
        <w:tc>
          <w:tcPr>
            <w:tcW w:w="1511" w:type="dxa"/>
            <w:tcBorders>
              <w:bottom w:val="single" w:sz="4" w:space="0" w:color="auto"/>
            </w:tcBorders>
            <w:shd w:val="clear" w:color="auto" w:fill="FFFF99"/>
          </w:tcPr>
          <w:p w14:paraId="45AAD9CE" w14:textId="1C531693" w:rsidR="002E566C" w:rsidRDefault="00240290" w:rsidP="00A8411F">
            <w:pPr>
              <w:jc w:val="both"/>
            </w:pPr>
            <w:r>
              <w:t>28</w:t>
            </w:r>
            <w:r w:rsidR="002E566C">
              <w:t>%</w:t>
            </w:r>
          </w:p>
        </w:tc>
        <w:tc>
          <w:tcPr>
            <w:tcW w:w="1511" w:type="dxa"/>
            <w:tcBorders>
              <w:bottom w:val="single" w:sz="4" w:space="0" w:color="auto"/>
            </w:tcBorders>
            <w:shd w:val="clear" w:color="auto" w:fill="FFCC99"/>
          </w:tcPr>
          <w:p w14:paraId="4672988A" w14:textId="20CD9447" w:rsidR="002E566C" w:rsidRDefault="00240290" w:rsidP="00A8411F">
            <w:pPr>
              <w:jc w:val="both"/>
            </w:pPr>
            <w:r>
              <w:t>49</w:t>
            </w:r>
            <w:r w:rsidR="002E566C">
              <w:t>%</w:t>
            </w:r>
          </w:p>
        </w:tc>
        <w:tc>
          <w:tcPr>
            <w:tcW w:w="1502" w:type="dxa"/>
          </w:tcPr>
          <w:p w14:paraId="3552C4C5" w14:textId="6005F6C2" w:rsidR="002E566C" w:rsidRDefault="00240290" w:rsidP="00A8411F">
            <w:pPr>
              <w:jc w:val="both"/>
            </w:pPr>
            <w:r>
              <w:t>8</w:t>
            </w:r>
            <w:r w:rsidR="002E566C">
              <w:t>%</w:t>
            </w:r>
          </w:p>
        </w:tc>
        <w:tc>
          <w:tcPr>
            <w:tcW w:w="1488" w:type="dxa"/>
          </w:tcPr>
          <w:p w14:paraId="43537CDA" w14:textId="0B148FA8" w:rsidR="002E566C" w:rsidRDefault="00240290" w:rsidP="00A8411F">
            <w:pPr>
              <w:jc w:val="both"/>
            </w:pPr>
            <w:r>
              <w:t>10</w:t>
            </w:r>
            <w:r w:rsidR="002E566C">
              <w:t>%</w:t>
            </w:r>
          </w:p>
        </w:tc>
      </w:tr>
      <w:tr w:rsidR="002E566C" w14:paraId="0280A818" w14:textId="77777777" w:rsidTr="009F1CC9">
        <w:tc>
          <w:tcPr>
            <w:tcW w:w="1821" w:type="dxa"/>
          </w:tcPr>
          <w:p w14:paraId="40149071" w14:textId="77777777" w:rsidR="002E566C" w:rsidRDefault="002E566C" w:rsidP="00A8411F">
            <w:pPr>
              <w:jc w:val="both"/>
            </w:pPr>
            <w:r>
              <w:t>Q3 (1.1.3)</w:t>
            </w:r>
          </w:p>
        </w:tc>
        <w:tc>
          <w:tcPr>
            <w:tcW w:w="1183" w:type="dxa"/>
          </w:tcPr>
          <w:p w14:paraId="6FF60F99" w14:textId="77777777" w:rsidR="002E566C" w:rsidRDefault="002E566C" w:rsidP="00A8411F">
            <w:pPr>
              <w:jc w:val="both"/>
            </w:pPr>
            <w:r>
              <w:t>11%</w:t>
            </w:r>
          </w:p>
        </w:tc>
        <w:tc>
          <w:tcPr>
            <w:tcW w:w="1511" w:type="dxa"/>
            <w:shd w:val="clear" w:color="auto" w:fill="FABF8F" w:themeFill="accent6" w:themeFillTint="99"/>
          </w:tcPr>
          <w:p w14:paraId="4DC14489" w14:textId="5B8A03E2" w:rsidR="002E566C" w:rsidRDefault="00240290" w:rsidP="00A8411F">
            <w:pPr>
              <w:jc w:val="both"/>
            </w:pPr>
            <w:r>
              <w:t>45</w:t>
            </w:r>
            <w:r w:rsidR="002E566C">
              <w:t>%</w:t>
            </w:r>
          </w:p>
        </w:tc>
        <w:tc>
          <w:tcPr>
            <w:tcW w:w="1511" w:type="dxa"/>
            <w:shd w:val="clear" w:color="auto" w:fill="FFFF99"/>
          </w:tcPr>
          <w:p w14:paraId="0A6F219A" w14:textId="6BAFFC2B" w:rsidR="002E566C" w:rsidRDefault="00240290" w:rsidP="00A8411F">
            <w:pPr>
              <w:jc w:val="both"/>
            </w:pPr>
            <w:r>
              <w:t>26</w:t>
            </w:r>
            <w:r w:rsidR="002E566C">
              <w:t>%</w:t>
            </w:r>
          </w:p>
        </w:tc>
        <w:tc>
          <w:tcPr>
            <w:tcW w:w="1502" w:type="dxa"/>
          </w:tcPr>
          <w:p w14:paraId="6468BEA6" w14:textId="4F2D7C93" w:rsidR="002E566C" w:rsidRDefault="00240290" w:rsidP="00A8411F">
            <w:pPr>
              <w:jc w:val="both"/>
            </w:pPr>
            <w:r>
              <w:t>16</w:t>
            </w:r>
            <w:r w:rsidR="002E566C">
              <w:t>%</w:t>
            </w:r>
          </w:p>
        </w:tc>
        <w:tc>
          <w:tcPr>
            <w:tcW w:w="1488" w:type="dxa"/>
          </w:tcPr>
          <w:p w14:paraId="2166DEDE" w14:textId="69A63B75" w:rsidR="002E566C" w:rsidRDefault="00240290" w:rsidP="00A8411F">
            <w:pPr>
              <w:jc w:val="both"/>
            </w:pPr>
            <w:r>
              <w:t>3</w:t>
            </w:r>
            <w:r w:rsidR="002E566C">
              <w:t>%</w:t>
            </w:r>
          </w:p>
        </w:tc>
      </w:tr>
    </w:tbl>
    <w:p w14:paraId="2379322E" w14:textId="7B86CF12" w:rsidR="00784C85" w:rsidRPr="00784C85" w:rsidRDefault="002E566C" w:rsidP="00784C85">
      <w:pPr>
        <w:jc w:val="both"/>
        <w:rPr>
          <w:i/>
          <w:sz w:val="18"/>
          <w:szCs w:val="18"/>
        </w:rPr>
      </w:pPr>
      <w:r w:rsidRPr="000A31D7">
        <w:rPr>
          <w:i/>
          <w:sz w:val="18"/>
          <w:szCs w:val="18"/>
        </w:rPr>
        <w:t xml:space="preserve">Figures are rounded to the nearest </w:t>
      </w:r>
      <w:r w:rsidR="00790D34" w:rsidRPr="000A31D7">
        <w:rPr>
          <w:i/>
          <w:sz w:val="18"/>
          <w:szCs w:val="18"/>
        </w:rPr>
        <w:t>percent</w:t>
      </w:r>
      <w:r w:rsidR="00790D34">
        <w:rPr>
          <w:i/>
          <w:sz w:val="18"/>
          <w:szCs w:val="18"/>
        </w:rPr>
        <w:t>age point</w:t>
      </w:r>
      <w:r w:rsidRPr="000A31D7">
        <w:rPr>
          <w:i/>
          <w:sz w:val="18"/>
          <w:szCs w:val="18"/>
        </w:rPr>
        <w:t xml:space="preserve"> and therefore may not sum to 100.</w:t>
      </w:r>
    </w:p>
    <w:p w14:paraId="070545EC" w14:textId="2ED7DC20" w:rsidR="00240290" w:rsidRDefault="00784C85" w:rsidP="00A02128">
      <w:pPr>
        <w:ind w:left="993" w:hanging="633"/>
        <w:jc w:val="both"/>
        <w:rPr>
          <w:rStyle w:val="SubtleEmphasis"/>
        </w:rPr>
      </w:pPr>
      <w:r w:rsidRPr="00E80659">
        <w:rPr>
          <w:rStyle w:val="SubtleEmphasis"/>
        </w:rPr>
        <w:t>1.1.1</w:t>
      </w:r>
      <w:r w:rsidR="00240290">
        <w:rPr>
          <w:rStyle w:val="SubtleEmphasis"/>
        </w:rPr>
        <w:t>a</w:t>
      </w:r>
      <w:r w:rsidRPr="00E80659">
        <w:rPr>
          <w:rStyle w:val="SubtleEmphasis"/>
        </w:rPr>
        <w:t>:</w:t>
      </w:r>
      <w:r w:rsidRPr="00E80659">
        <w:rPr>
          <w:rStyle w:val="SubtleEmphasis"/>
        </w:rPr>
        <w:tab/>
        <w:t>The Head of Department, or another senior academic, leads and ch</w:t>
      </w:r>
      <w:r w:rsidR="00353E22">
        <w:rPr>
          <w:rStyle w:val="SubtleEmphasis"/>
        </w:rPr>
        <w:t>ampions good practice for women-in-</w:t>
      </w:r>
      <w:r w:rsidRPr="00E80659">
        <w:rPr>
          <w:rStyle w:val="SubtleEmphasis"/>
        </w:rPr>
        <w:t xml:space="preserve">science initiatives and programmes. </w:t>
      </w:r>
      <w:r w:rsidR="00240290">
        <w:rPr>
          <w:rStyle w:val="SubtleEmphasis"/>
        </w:rPr>
        <w:t xml:space="preserve"> </w:t>
      </w:r>
      <w:r w:rsidR="00240290" w:rsidRPr="00240290">
        <w:rPr>
          <w:rStyle w:val="SubtleEmphasis"/>
          <w:b/>
        </w:rPr>
        <w:t>(This one did much better this year)</w:t>
      </w:r>
    </w:p>
    <w:p w14:paraId="1669B480" w14:textId="7547C06B" w:rsidR="00784C85" w:rsidRPr="00E80659" w:rsidRDefault="00240290" w:rsidP="00A02128">
      <w:pPr>
        <w:ind w:left="993" w:hanging="633"/>
        <w:jc w:val="both"/>
        <w:rPr>
          <w:rStyle w:val="SubtleEmphasis"/>
        </w:rPr>
      </w:pPr>
      <w:r>
        <w:rPr>
          <w:rStyle w:val="SubtleEmphasis"/>
        </w:rPr>
        <w:t>1.1.1b:</w:t>
      </w:r>
      <w:r>
        <w:rPr>
          <w:rStyle w:val="SubtleEmphasis"/>
        </w:rPr>
        <w:tab/>
      </w:r>
      <w:r w:rsidR="00784C85" w:rsidRPr="00E80659">
        <w:rPr>
          <w:rStyle w:val="SubtleEmphasis"/>
        </w:rPr>
        <w:t>Senior staff are generally committ</w:t>
      </w:r>
      <w:r w:rsidR="00A02128" w:rsidRPr="00E80659">
        <w:rPr>
          <w:rStyle w:val="SubtleEmphasis"/>
        </w:rPr>
        <w:t xml:space="preserve">ed to making change happen and “owning” </w:t>
      </w:r>
      <w:r w:rsidR="00784C85" w:rsidRPr="00E80659">
        <w:rPr>
          <w:rStyle w:val="SubtleEmphasis"/>
        </w:rPr>
        <w:t>the action.</w:t>
      </w:r>
    </w:p>
    <w:p w14:paraId="3C79A2EC" w14:textId="63AD465C" w:rsidR="00A02128" w:rsidRPr="00E80659" w:rsidRDefault="00A02128" w:rsidP="00A02128">
      <w:pPr>
        <w:ind w:left="993" w:hanging="633"/>
        <w:jc w:val="both"/>
        <w:rPr>
          <w:rStyle w:val="SubtleEmphasis"/>
        </w:rPr>
      </w:pPr>
      <w:r w:rsidRPr="00E80659">
        <w:rPr>
          <w:rStyle w:val="SubtleEmphasis"/>
        </w:rPr>
        <w:t>1.1.2:</w:t>
      </w:r>
      <w:r w:rsidRPr="00E80659">
        <w:rPr>
          <w:rStyle w:val="SubtleEmphasis"/>
        </w:rPr>
        <w:tab/>
      </w:r>
      <w:r w:rsidR="00240290" w:rsidRPr="00240290">
        <w:rPr>
          <w:rStyle w:val="SubtleEmphasis"/>
        </w:rPr>
        <w:t>The departmental structures for management, organisation, operations and decision-making are clear, transparent and accountable to all staff.</w:t>
      </w:r>
    </w:p>
    <w:p w14:paraId="40D0312D" w14:textId="102E6CDE" w:rsidR="00A02128" w:rsidRPr="00E80659" w:rsidRDefault="00A02128" w:rsidP="00A02128">
      <w:pPr>
        <w:ind w:left="993" w:hanging="633"/>
        <w:jc w:val="both"/>
        <w:rPr>
          <w:rStyle w:val="SubtleEmphasis"/>
        </w:rPr>
      </w:pPr>
      <w:r w:rsidRPr="00E80659">
        <w:rPr>
          <w:rStyle w:val="SubtleEmphasis"/>
        </w:rPr>
        <w:t>1.1.3:</w:t>
      </w:r>
      <w:r w:rsidRPr="00E80659">
        <w:rPr>
          <w:rStyle w:val="SubtleEmphasis"/>
        </w:rPr>
        <w:tab/>
      </w:r>
      <w:r w:rsidR="00240290" w:rsidRPr="00240290">
        <w:rPr>
          <w:rStyle w:val="SubtleEmphasis"/>
        </w:rPr>
        <w:t>The department allocates resources (time, admin support, facilities and funding) to support women in science initiatives.</w:t>
      </w:r>
    </w:p>
    <w:p w14:paraId="693F1432" w14:textId="77777777" w:rsidR="002E566C" w:rsidRPr="004C518E" w:rsidRDefault="002E566C" w:rsidP="002E566C">
      <w:pPr>
        <w:pStyle w:val="Heading3"/>
      </w:pPr>
      <w:bookmarkStart w:id="4" w:name="_Toc329540722"/>
      <w:r w:rsidRPr="00D9039D">
        <w:rPr>
          <w:b/>
        </w:rPr>
        <w:t>1.2</w:t>
      </w:r>
      <w:r w:rsidRPr="004C518E">
        <w:t xml:space="preserve"> Monitoring and evidence base</w:t>
      </w:r>
      <w:bookmarkEnd w:id="4"/>
    </w:p>
    <w:p w14:paraId="6E765C0C" w14:textId="1280C617" w:rsidR="00533F06" w:rsidRDefault="001C2595" w:rsidP="002E566C">
      <w:pPr>
        <w:jc w:val="both"/>
      </w:pPr>
      <w:r>
        <w:t>Respondents tended to rate the collection and reporting of data in the high middling range (B: adopted – C: developing). These ratings were higher than in the 2015 survey, particularly with regards to the analysis of information on the differential representation and progression of different genders.</w:t>
      </w:r>
    </w:p>
    <w:p w14:paraId="713C2909" w14:textId="5839A417" w:rsidR="001C2595" w:rsidRDefault="001C2595" w:rsidP="002E566C">
      <w:pPr>
        <w:jc w:val="both"/>
      </w:pPr>
      <w:r>
        <w:t>Qualitative responses indicated that some data is collected, however this is not always presented to staff, and is rarely embedded in planning and decision-making processes. Some responses suggested that progress had been made, however this progress was slow and often limited to certain areas (such as at undergraduate level). Limited resourcing of equity work was positioned as a key cause of a lack of progress in this domain.</w:t>
      </w:r>
    </w:p>
    <w:p w14:paraId="3D956702" w14:textId="77777777" w:rsidR="00C517ED" w:rsidRDefault="00C517ED" w:rsidP="001966A3">
      <w:pPr>
        <w:jc w:val="both"/>
      </w:pPr>
    </w:p>
    <w:p w14:paraId="77C87C29" w14:textId="77777777" w:rsidR="002E566C" w:rsidRPr="00DD7007" w:rsidRDefault="002E566C" w:rsidP="002E566C">
      <w:pPr>
        <w:jc w:val="both"/>
        <w:rPr>
          <w:rStyle w:val="Emphasis"/>
        </w:rPr>
      </w:pPr>
      <w:r w:rsidRPr="00DD7007">
        <w:rPr>
          <w:rStyle w:val="Emphasis"/>
        </w:rPr>
        <w:t>Quantitative summary:</w:t>
      </w:r>
    </w:p>
    <w:tbl>
      <w:tblPr>
        <w:tblStyle w:val="TableGrid"/>
        <w:tblW w:w="0" w:type="auto"/>
        <w:tblLook w:val="04A0" w:firstRow="1" w:lastRow="0" w:firstColumn="1" w:lastColumn="0" w:noHBand="0" w:noVBand="1"/>
      </w:tblPr>
      <w:tblGrid>
        <w:gridCol w:w="1615"/>
        <w:gridCol w:w="1379"/>
        <w:gridCol w:w="1507"/>
        <w:gridCol w:w="1507"/>
        <w:gridCol w:w="1508"/>
        <w:gridCol w:w="1500"/>
      </w:tblGrid>
      <w:tr w:rsidR="002E566C" w14:paraId="5DD33F19" w14:textId="77777777" w:rsidTr="00B463E3">
        <w:tc>
          <w:tcPr>
            <w:tcW w:w="1668" w:type="dxa"/>
          </w:tcPr>
          <w:p w14:paraId="61502315" w14:textId="77777777" w:rsidR="002E566C" w:rsidRDefault="002E566C" w:rsidP="00A8411F">
            <w:pPr>
              <w:jc w:val="both"/>
            </w:pPr>
          </w:p>
        </w:tc>
        <w:tc>
          <w:tcPr>
            <w:tcW w:w="1412" w:type="dxa"/>
          </w:tcPr>
          <w:p w14:paraId="5A5ED5F0" w14:textId="77777777" w:rsidR="002E566C" w:rsidRDefault="002E566C" w:rsidP="00A8411F">
            <w:pPr>
              <w:jc w:val="both"/>
            </w:pPr>
            <w:r>
              <w:t>A</w:t>
            </w:r>
          </w:p>
        </w:tc>
        <w:tc>
          <w:tcPr>
            <w:tcW w:w="1540" w:type="dxa"/>
          </w:tcPr>
          <w:p w14:paraId="034234F4" w14:textId="77777777" w:rsidR="002E566C" w:rsidRDefault="002E566C" w:rsidP="00A8411F">
            <w:pPr>
              <w:jc w:val="both"/>
            </w:pPr>
            <w:r>
              <w:t>B</w:t>
            </w:r>
          </w:p>
        </w:tc>
        <w:tc>
          <w:tcPr>
            <w:tcW w:w="1540" w:type="dxa"/>
            <w:tcBorders>
              <w:bottom w:val="single" w:sz="4" w:space="0" w:color="auto"/>
            </w:tcBorders>
          </w:tcPr>
          <w:p w14:paraId="1DF6232C" w14:textId="77777777" w:rsidR="002E566C" w:rsidRDefault="002E566C" w:rsidP="00A8411F">
            <w:pPr>
              <w:jc w:val="both"/>
            </w:pPr>
            <w:r>
              <w:t>C</w:t>
            </w:r>
          </w:p>
        </w:tc>
        <w:tc>
          <w:tcPr>
            <w:tcW w:w="1541" w:type="dxa"/>
            <w:tcBorders>
              <w:bottom w:val="single" w:sz="4" w:space="0" w:color="auto"/>
            </w:tcBorders>
          </w:tcPr>
          <w:p w14:paraId="06B0211D" w14:textId="77777777" w:rsidR="002E566C" w:rsidRDefault="002E566C" w:rsidP="00A8411F">
            <w:pPr>
              <w:jc w:val="both"/>
            </w:pPr>
            <w:r>
              <w:t>D</w:t>
            </w:r>
          </w:p>
        </w:tc>
        <w:tc>
          <w:tcPr>
            <w:tcW w:w="1541" w:type="dxa"/>
            <w:tcBorders>
              <w:bottom w:val="single" w:sz="4" w:space="0" w:color="auto"/>
            </w:tcBorders>
          </w:tcPr>
          <w:p w14:paraId="2DF2FCA6" w14:textId="77777777" w:rsidR="002E566C" w:rsidRDefault="002E566C" w:rsidP="00A8411F">
            <w:pPr>
              <w:jc w:val="both"/>
            </w:pPr>
            <w:r>
              <w:t>E</w:t>
            </w:r>
          </w:p>
        </w:tc>
      </w:tr>
      <w:tr w:rsidR="002E566C" w14:paraId="2EA8DAAC" w14:textId="77777777" w:rsidTr="00304E60">
        <w:tc>
          <w:tcPr>
            <w:tcW w:w="1668" w:type="dxa"/>
          </w:tcPr>
          <w:p w14:paraId="0C289746" w14:textId="77777777" w:rsidR="002E566C" w:rsidRDefault="002E566C" w:rsidP="00A8411F">
            <w:pPr>
              <w:jc w:val="both"/>
            </w:pPr>
            <w:r>
              <w:t>Q4 (1.2.1)</w:t>
            </w:r>
          </w:p>
        </w:tc>
        <w:tc>
          <w:tcPr>
            <w:tcW w:w="1412" w:type="dxa"/>
          </w:tcPr>
          <w:p w14:paraId="0C400F35" w14:textId="24AB39AC" w:rsidR="002E566C" w:rsidRDefault="00432D46" w:rsidP="00A8411F">
            <w:pPr>
              <w:jc w:val="both"/>
            </w:pPr>
            <w:r>
              <w:t>8</w:t>
            </w:r>
            <w:r w:rsidR="002E566C">
              <w:t>%</w:t>
            </w:r>
          </w:p>
        </w:tc>
        <w:tc>
          <w:tcPr>
            <w:tcW w:w="1540" w:type="dxa"/>
            <w:shd w:val="clear" w:color="auto" w:fill="FABF8F" w:themeFill="accent6" w:themeFillTint="99"/>
          </w:tcPr>
          <w:p w14:paraId="10940F44" w14:textId="6A725058" w:rsidR="002E566C" w:rsidRDefault="00432D46" w:rsidP="00A8411F">
            <w:pPr>
              <w:jc w:val="both"/>
            </w:pPr>
            <w:r>
              <w:t>50</w:t>
            </w:r>
            <w:r w:rsidR="002E566C">
              <w:t>%</w:t>
            </w:r>
          </w:p>
        </w:tc>
        <w:tc>
          <w:tcPr>
            <w:tcW w:w="1540" w:type="dxa"/>
            <w:tcBorders>
              <w:bottom w:val="single" w:sz="4" w:space="0" w:color="auto"/>
            </w:tcBorders>
            <w:shd w:val="clear" w:color="auto" w:fill="FFFF99"/>
          </w:tcPr>
          <w:p w14:paraId="1B1A6139" w14:textId="7E6276D8" w:rsidR="002E566C" w:rsidRDefault="00432D46" w:rsidP="00A8411F">
            <w:pPr>
              <w:jc w:val="both"/>
            </w:pPr>
            <w:r>
              <w:t>34</w:t>
            </w:r>
            <w:r w:rsidR="002E566C">
              <w:t>%</w:t>
            </w:r>
          </w:p>
        </w:tc>
        <w:tc>
          <w:tcPr>
            <w:tcW w:w="1541" w:type="dxa"/>
            <w:tcBorders>
              <w:bottom w:val="single" w:sz="4" w:space="0" w:color="auto"/>
            </w:tcBorders>
            <w:shd w:val="clear" w:color="auto" w:fill="FFFFFF" w:themeFill="background1"/>
          </w:tcPr>
          <w:p w14:paraId="5E10800D" w14:textId="401876DA" w:rsidR="002E566C" w:rsidRDefault="00432D46" w:rsidP="00432D46">
            <w:pPr>
              <w:jc w:val="both"/>
            </w:pPr>
            <w:r>
              <w:t>5</w:t>
            </w:r>
            <w:r w:rsidR="002E566C">
              <w:t>%</w:t>
            </w:r>
          </w:p>
        </w:tc>
        <w:tc>
          <w:tcPr>
            <w:tcW w:w="1541" w:type="dxa"/>
            <w:shd w:val="clear" w:color="auto" w:fill="FFFFFF" w:themeFill="background1"/>
          </w:tcPr>
          <w:p w14:paraId="3A0D6357" w14:textId="1DB9F63B" w:rsidR="002E566C" w:rsidRDefault="00432D46" w:rsidP="00A8411F">
            <w:pPr>
              <w:jc w:val="both"/>
            </w:pPr>
            <w:r>
              <w:t>3</w:t>
            </w:r>
            <w:r w:rsidR="002E566C">
              <w:t>%</w:t>
            </w:r>
          </w:p>
        </w:tc>
      </w:tr>
      <w:tr w:rsidR="002E566C" w14:paraId="25652D66" w14:textId="77777777" w:rsidTr="00304E60">
        <w:tc>
          <w:tcPr>
            <w:tcW w:w="1668" w:type="dxa"/>
          </w:tcPr>
          <w:p w14:paraId="1ED9B8B3" w14:textId="77777777" w:rsidR="002E566C" w:rsidRDefault="002E566C" w:rsidP="00A8411F">
            <w:pPr>
              <w:jc w:val="both"/>
            </w:pPr>
            <w:r>
              <w:t>Q5 (1.2.2)</w:t>
            </w:r>
          </w:p>
        </w:tc>
        <w:tc>
          <w:tcPr>
            <w:tcW w:w="1412" w:type="dxa"/>
          </w:tcPr>
          <w:p w14:paraId="218F780E" w14:textId="52480CC4" w:rsidR="002E566C" w:rsidRDefault="00432D46" w:rsidP="00A8411F">
            <w:pPr>
              <w:jc w:val="both"/>
            </w:pPr>
            <w:r>
              <w:t>8</w:t>
            </w:r>
            <w:r w:rsidR="002E566C">
              <w:t>%</w:t>
            </w:r>
          </w:p>
        </w:tc>
        <w:tc>
          <w:tcPr>
            <w:tcW w:w="1540" w:type="dxa"/>
            <w:shd w:val="clear" w:color="auto" w:fill="FABF8F" w:themeFill="accent6" w:themeFillTint="99"/>
          </w:tcPr>
          <w:p w14:paraId="17FD8070" w14:textId="095C1364" w:rsidR="002E566C" w:rsidRDefault="00432D46" w:rsidP="00A8411F">
            <w:pPr>
              <w:jc w:val="both"/>
            </w:pPr>
            <w:r>
              <w:t>40</w:t>
            </w:r>
            <w:r w:rsidR="002E566C">
              <w:t>%</w:t>
            </w:r>
          </w:p>
        </w:tc>
        <w:tc>
          <w:tcPr>
            <w:tcW w:w="1540" w:type="dxa"/>
            <w:shd w:val="clear" w:color="auto" w:fill="FFFF99"/>
          </w:tcPr>
          <w:p w14:paraId="733509DF" w14:textId="13B969A7" w:rsidR="002E566C" w:rsidRDefault="00432D46" w:rsidP="00A8411F">
            <w:pPr>
              <w:jc w:val="both"/>
            </w:pPr>
            <w:r>
              <w:t>39</w:t>
            </w:r>
            <w:r w:rsidR="002E566C">
              <w:t>%</w:t>
            </w:r>
          </w:p>
        </w:tc>
        <w:tc>
          <w:tcPr>
            <w:tcW w:w="1541" w:type="dxa"/>
            <w:shd w:val="clear" w:color="auto" w:fill="FFFFFF" w:themeFill="background1"/>
          </w:tcPr>
          <w:p w14:paraId="54C8B143" w14:textId="49A06769" w:rsidR="002E566C" w:rsidRDefault="00432D46" w:rsidP="00A8411F">
            <w:pPr>
              <w:jc w:val="both"/>
            </w:pPr>
            <w:r>
              <w:t>11</w:t>
            </w:r>
            <w:r w:rsidR="002E566C">
              <w:t>%</w:t>
            </w:r>
          </w:p>
        </w:tc>
        <w:tc>
          <w:tcPr>
            <w:tcW w:w="1541" w:type="dxa"/>
          </w:tcPr>
          <w:p w14:paraId="32453DEB" w14:textId="29AC130B" w:rsidR="002E566C" w:rsidRDefault="002E566C" w:rsidP="00A8411F">
            <w:pPr>
              <w:jc w:val="both"/>
            </w:pPr>
            <w:r>
              <w:t>3%</w:t>
            </w:r>
          </w:p>
        </w:tc>
      </w:tr>
    </w:tbl>
    <w:p w14:paraId="418A63F8" w14:textId="2A6BED9D" w:rsidR="002E566C" w:rsidRDefault="002E566C" w:rsidP="002E566C">
      <w:pPr>
        <w:jc w:val="both"/>
        <w:rPr>
          <w:i/>
          <w:sz w:val="18"/>
          <w:szCs w:val="18"/>
        </w:rPr>
      </w:pPr>
      <w:r w:rsidRPr="000A31D7">
        <w:rPr>
          <w:i/>
          <w:sz w:val="18"/>
          <w:szCs w:val="18"/>
        </w:rPr>
        <w:lastRenderedPageBreak/>
        <w:t xml:space="preserve">Figures are rounded to the nearest </w:t>
      </w:r>
      <w:r w:rsidR="00790D34" w:rsidRPr="000A31D7">
        <w:rPr>
          <w:i/>
          <w:sz w:val="18"/>
          <w:szCs w:val="18"/>
        </w:rPr>
        <w:t>percentage point</w:t>
      </w:r>
      <w:r w:rsidRPr="000A31D7">
        <w:rPr>
          <w:i/>
          <w:sz w:val="18"/>
          <w:szCs w:val="18"/>
        </w:rPr>
        <w:t xml:space="preserve"> and therefore may not sum to 100.</w:t>
      </w:r>
    </w:p>
    <w:p w14:paraId="05918420" w14:textId="0227F3A1" w:rsidR="00A02128" w:rsidRPr="00E80659" w:rsidRDefault="00A02128" w:rsidP="002C0C9C">
      <w:pPr>
        <w:ind w:left="993" w:hanging="633"/>
        <w:jc w:val="both"/>
        <w:rPr>
          <w:rStyle w:val="SubtleEmphasis"/>
        </w:rPr>
      </w:pPr>
      <w:r w:rsidRPr="00E80659">
        <w:rPr>
          <w:rStyle w:val="SubtleEmphasis"/>
        </w:rPr>
        <w:t>1.2.1:</w:t>
      </w:r>
      <w:r w:rsidRPr="00E80659">
        <w:rPr>
          <w:rStyle w:val="SubtleEmphasis"/>
        </w:rPr>
        <w:tab/>
      </w:r>
      <w:r w:rsidR="00432D46" w:rsidRPr="00432D46">
        <w:rPr>
          <w:rStyle w:val="SubtleEmphasis"/>
        </w:rPr>
        <w:t>Information on differential representation and progression, by gender (at all levels from undergraduate entrants to Professors) is analysed.</w:t>
      </w:r>
      <w:r w:rsidR="00432D46">
        <w:rPr>
          <w:rStyle w:val="SubtleEmphasis"/>
        </w:rPr>
        <w:t xml:space="preserve"> </w:t>
      </w:r>
      <w:r w:rsidR="00432D46" w:rsidRPr="00432D46">
        <w:rPr>
          <w:rStyle w:val="SubtleEmphasis"/>
          <w:b/>
        </w:rPr>
        <w:t>(This is much better)</w:t>
      </w:r>
    </w:p>
    <w:p w14:paraId="55E6DD94" w14:textId="02E90E63" w:rsidR="00A02128" w:rsidRPr="00E80659" w:rsidRDefault="00A02128" w:rsidP="002C0C9C">
      <w:pPr>
        <w:ind w:left="993" w:hanging="633"/>
        <w:jc w:val="both"/>
        <w:rPr>
          <w:rStyle w:val="SubtleEmphasis"/>
        </w:rPr>
      </w:pPr>
      <w:r w:rsidRPr="00E80659">
        <w:rPr>
          <w:rStyle w:val="SubtleEmphasis"/>
        </w:rPr>
        <w:t>1.2.2:</w:t>
      </w:r>
      <w:r w:rsidRPr="00E80659">
        <w:rPr>
          <w:rStyle w:val="SubtleEmphasis"/>
        </w:rPr>
        <w:tab/>
      </w:r>
      <w:r w:rsidR="00432D46" w:rsidRPr="00432D46">
        <w:rPr>
          <w:rStyle w:val="SubtleEmphasis"/>
        </w:rPr>
        <w:t>The department accesses and uses qualitative data gained from staff surveys, discussions, and focus groups.</w:t>
      </w:r>
      <w:r w:rsidR="00432D46">
        <w:rPr>
          <w:rStyle w:val="SubtleEmphasis"/>
        </w:rPr>
        <w:t xml:space="preserve"> </w:t>
      </w:r>
      <w:r w:rsidR="00432D46" w:rsidRPr="00432D46">
        <w:rPr>
          <w:rStyle w:val="SubtleEmphasis"/>
          <w:b/>
        </w:rPr>
        <w:t>(This is better)</w:t>
      </w:r>
    </w:p>
    <w:p w14:paraId="289597FF" w14:textId="77777777" w:rsidR="00520044" w:rsidRDefault="00520044" w:rsidP="002E566C">
      <w:pPr>
        <w:pStyle w:val="Heading2"/>
        <w:sectPr w:rsidR="00520044" w:rsidSect="00520044">
          <w:pgSz w:w="11906" w:h="16838"/>
          <w:pgMar w:top="1440" w:right="1440" w:bottom="1440" w:left="1440" w:header="709" w:footer="709" w:gutter="0"/>
          <w:cols w:space="708"/>
          <w:docGrid w:linePitch="360"/>
        </w:sectPr>
      </w:pPr>
    </w:p>
    <w:p w14:paraId="66B4B2AF" w14:textId="7917FEC4" w:rsidR="002E566C" w:rsidRDefault="002E566C" w:rsidP="002E566C">
      <w:pPr>
        <w:pStyle w:val="Heading2"/>
      </w:pPr>
      <w:bookmarkStart w:id="5" w:name="_Toc329540723"/>
      <w:r w:rsidRPr="008C5954">
        <w:rPr>
          <w:b/>
        </w:rPr>
        <w:lastRenderedPageBreak/>
        <w:t>Principle 2</w:t>
      </w:r>
      <w:r w:rsidRPr="00E03981">
        <w:t xml:space="preserve">: Appointment and selection processes and procedures that </w:t>
      </w:r>
      <w:r w:rsidR="00790D34" w:rsidRPr="00E03981">
        <w:t>encourage</w:t>
      </w:r>
      <w:r w:rsidRPr="00E03981">
        <w:t xml:space="preserve"> men and women to apply for academic posts at all levels</w:t>
      </w:r>
      <w:bookmarkEnd w:id="5"/>
    </w:p>
    <w:p w14:paraId="21333D1C" w14:textId="77777777" w:rsidR="002E566C" w:rsidRPr="004C518E" w:rsidRDefault="002E566C" w:rsidP="002E566C">
      <w:pPr>
        <w:pStyle w:val="Heading3"/>
      </w:pPr>
      <w:bookmarkStart w:id="6" w:name="_Toc329540724"/>
      <w:r w:rsidRPr="00D9039D">
        <w:rPr>
          <w:b/>
        </w:rPr>
        <w:t>2.1</w:t>
      </w:r>
      <w:r w:rsidRPr="004C518E">
        <w:t xml:space="preserve"> Ensure that processes and procedures are fully inclusive.</w:t>
      </w:r>
      <w:bookmarkEnd w:id="6"/>
      <w:r w:rsidRPr="004C518E">
        <w:t xml:space="preserve"> </w:t>
      </w:r>
    </w:p>
    <w:p w14:paraId="6CB26E2E" w14:textId="29DEFBB9" w:rsidR="0052452E" w:rsidRDefault="00E93DF4" w:rsidP="002E566C">
      <w:pPr>
        <w:jc w:val="both"/>
      </w:pPr>
      <w:r>
        <w:t>Responses tended to be middling (B-C) for most measures. However, responses to Q8 (</w:t>
      </w:r>
      <w:r w:rsidRPr="00E93DF4">
        <w:rPr>
          <w:i/>
          <w:iCs/>
        </w:rPr>
        <w:t>There is a departmental induction programme that introduces departmental practices and procedures to all staff, including post-doctoral researchers.</w:t>
      </w:r>
      <w:r>
        <w:rPr>
          <w:i/>
          <w:iCs/>
        </w:rPr>
        <w:t>)</w:t>
      </w:r>
      <w:r>
        <w:rPr>
          <w:i/>
        </w:rPr>
        <w:t xml:space="preserve"> </w:t>
      </w:r>
      <w:r>
        <w:t>were particularly low, clustering around C (developing) and E (not in place). Comments indicated that the induction process has been previously raised as an issue, but has not been formally implemented. One comment suggested that senior staff support and resourcing was needed to support the development of an induction programme. With regards to bias training, comments suggested that there was a period of bias training of interviewers, howeve</w:t>
      </w:r>
      <w:r w:rsidR="0077170F">
        <w:t xml:space="preserve">r this had dropped off as these practices had not been </w:t>
      </w:r>
      <w:proofErr w:type="spellStart"/>
      <w:r w:rsidR="0077170F">
        <w:t>procuduralised</w:t>
      </w:r>
      <w:proofErr w:type="spellEnd"/>
      <w:r w:rsidR="0077170F">
        <w:t>. As with previous principles, increased resourcing and the embedding of good practices were positioned as needed to create lasting change in this area.</w:t>
      </w:r>
    </w:p>
    <w:p w14:paraId="3C2B5E84" w14:textId="77777777" w:rsidR="00E93DF4" w:rsidRPr="00E93DF4" w:rsidRDefault="00E93DF4" w:rsidP="002E566C">
      <w:pPr>
        <w:jc w:val="both"/>
      </w:pPr>
    </w:p>
    <w:p w14:paraId="3D45180C" w14:textId="77777777" w:rsidR="0052452E" w:rsidRDefault="0052452E" w:rsidP="002E566C">
      <w:pPr>
        <w:jc w:val="both"/>
      </w:pPr>
    </w:p>
    <w:p w14:paraId="461C3BBF" w14:textId="77777777" w:rsidR="002E566C" w:rsidRPr="00FC43AD" w:rsidRDefault="002E566C" w:rsidP="00FC43AD">
      <w:pPr>
        <w:rPr>
          <w:rStyle w:val="Emphasis"/>
        </w:rPr>
      </w:pPr>
      <w:r w:rsidRPr="00FC43AD">
        <w:rPr>
          <w:rStyle w:val="Emphasis"/>
        </w:rPr>
        <w:t>Quantitative summary:</w:t>
      </w:r>
    </w:p>
    <w:tbl>
      <w:tblPr>
        <w:tblStyle w:val="TableGrid"/>
        <w:tblW w:w="0" w:type="auto"/>
        <w:tblLook w:val="04A0" w:firstRow="1" w:lastRow="0" w:firstColumn="1" w:lastColumn="0" w:noHBand="0" w:noVBand="1"/>
      </w:tblPr>
      <w:tblGrid>
        <w:gridCol w:w="1613"/>
        <w:gridCol w:w="1385"/>
        <w:gridCol w:w="1504"/>
        <w:gridCol w:w="1504"/>
        <w:gridCol w:w="1505"/>
        <w:gridCol w:w="1505"/>
      </w:tblGrid>
      <w:tr w:rsidR="002E566C" w14:paraId="5460A23E" w14:textId="77777777" w:rsidTr="00B463E3">
        <w:tc>
          <w:tcPr>
            <w:tcW w:w="1668" w:type="dxa"/>
          </w:tcPr>
          <w:p w14:paraId="442CF8EF" w14:textId="77777777" w:rsidR="002E566C" w:rsidRDefault="002E566C" w:rsidP="00A8411F">
            <w:pPr>
              <w:jc w:val="both"/>
            </w:pPr>
          </w:p>
        </w:tc>
        <w:tc>
          <w:tcPr>
            <w:tcW w:w="1412" w:type="dxa"/>
          </w:tcPr>
          <w:p w14:paraId="0C56CDE8" w14:textId="77777777" w:rsidR="002E566C" w:rsidRDefault="002E566C" w:rsidP="00A8411F">
            <w:pPr>
              <w:jc w:val="both"/>
            </w:pPr>
            <w:r>
              <w:t>A</w:t>
            </w:r>
          </w:p>
        </w:tc>
        <w:tc>
          <w:tcPr>
            <w:tcW w:w="1540" w:type="dxa"/>
            <w:tcBorders>
              <w:bottom w:val="single" w:sz="4" w:space="0" w:color="auto"/>
            </w:tcBorders>
          </w:tcPr>
          <w:p w14:paraId="7925F207" w14:textId="77777777" w:rsidR="002E566C" w:rsidRDefault="002E566C" w:rsidP="00A8411F">
            <w:pPr>
              <w:jc w:val="both"/>
            </w:pPr>
            <w:r>
              <w:t>B</w:t>
            </w:r>
          </w:p>
        </w:tc>
        <w:tc>
          <w:tcPr>
            <w:tcW w:w="1540" w:type="dxa"/>
          </w:tcPr>
          <w:p w14:paraId="3FC2F1F3" w14:textId="77777777" w:rsidR="002E566C" w:rsidRDefault="002E566C" w:rsidP="00A8411F">
            <w:pPr>
              <w:jc w:val="both"/>
            </w:pPr>
            <w:r>
              <w:t>C</w:t>
            </w:r>
          </w:p>
        </w:tc>
        <w:tc>
          <w:tcPr>
            <w:tcW w:w="1541" w:type="dxa"/>
          </w:tcPr>
          <w:p w14:paraId="34C8D769" w14:textId="77777777" w:rsidR="002E566C" w:rsidRDefault="002E566C" w:rsidP="00A8411F">
            <w:pPr>
              <w:jc w:val="both"/>
            </w:pPr>
            <w:r>
              <w:t>D</w:t>
            </w:r>
          </w:p>
        </w:tc>
        <w:tc>
          <w:tcPr>
            <w:tcW w:w="1541" w:type="dxa"/>
            <w:tcBorders>
              <w:bottom w:val="single" w:sz="4" w:space="0" w:color="auto"/>
            </w:tcBorders>
          </w:tcPr>
          <w:p w14:paraId="17FCB2B6" w14:textId="77777777" w:rsidR="002E566C" w:rsidRDefault="002E566C" w:rsidP="00A8411F">
            <w:pPr>
              <w:jc w:val="both"/>
            </w:pPr>
            <w:r>
              <w:t>E</w:t>
            </w:r>
          </w:p>
        </w:tc>
      </w:tr>
      <w:tr w:rsidR="002E566C" w14:paraId="753F5841" w14:textId="77777777" w:rsidTr="00304E60">
        <w:tc>
          <w:tcPr>
            <w:tcW w:w="1668" w:type="dxa"/>
          </w:tcPr>
          <w:p w14:paraId="1A3D1239" w14:textId="77777777" w:rsidR="002E566C" w:rsidRDefault="002E566C" w:rsidP="00A8411F">
            <w:pPr>
              <w:jc w:val="both"/>
            </w:pPr>
            <w:r>
              <w:t>Q6 (2.1.1)</w:t>
            </w:r>
          </w:p>
        </w:tc>
        <w:tc>
          <w:tcPr>
            <w:tcW w:w="1412" w:type="dxa"/>
          </w:tcPr>
          <w:p w14:paraId="33F0C530" w14:textId="5511405D" w:rsidR="002E566C" w:rsidRDefault="00432D46" w:rsidP="00A8411F">
            <w:pPr>
              <w:jc w:val="both"/>
            </w:pPr>
            <w:r>
              <w:t>11</w:t>
            </w:r>
            <w:r w:rsidR="002E566C">
              <w:t>%</w:t>
            </w:r>
          </w:p>
        </w:tc>
        <w:tc>
          <w:tcPr>
            <w:tcW w:w="1540" w:type="dxa"/>
            <w:shd w:val="clear" w:color="auto" w:fill="FFFF99"/>
          </w:tcPr>
          <w:p w14:paraId="36C989EC" w14:textId="33533E61" w:rsidR="002E566C" w:rsidRDefault="00432D46" w:rsidP="00A8411F">
            <w:pPr>
              <w:jc w:val="both"/>
            </w:pPr>
            <w:r>
              <w:t>32</w:t>
            </w:r>
            <w:r w:rsidR="002E566C">
              <w:t>%</w:t>
            </w:r>
          </w:p>
        </w:tc>
        <w:tc>
          <w:tcPr>
            <w:tcW w:w="1540" w:type="dxa"/>
            <w:tcBorders>
              <w:bottom w:val="single" w:sz="4" w:space="0" w:color="auto"/>
            </w:tcBorders>
            <w:shd w:val="clear" w:color="auto" w:fill="FFFF99"/>
          </w:tcPr>
          <w:p w14:paraId="6CBCE126" w14:textId="03A08670" w:rsidR="002E566C" w:rsidRDefault="00432D46" w:rsidP="00A8411F">
            <w:pPr>
              <w:jc w:val="both"/>
            </w:pPr>
            <w:r>
              <w:t>30</w:t>
            </w:r>
            <w:r w:rsidR="002E566C">
              <w:t>%</w:t>
            </w:r>
          </w:p>
        </w:tc>
        <w:tc>
          <w:tcPr>
            <w:tcW w:w="1541" w:type="dxa"/>
          </w:tcPr>
          <w:p w14:paraId="25165469" w14:textId="2CB7ECF4" w:rsidR="002E566C" w:rsidRDefault="00432D46" w:rsidP="00A8411F">
            <w:pPr>
              <w:jc w:val="both"/>
            </w:pPr>
            <w:r>
              <w:t>19</w:t>
            </w:r>
            <w:r w:rsidR="002E566C">
              <w:t>%</w:t>
            </w:r>
          </w:p>
        </w:tc>
        <w:tc>
          <w:tcPr>
            <w:tcW w:w="1541" w:type="dxa"/>
            <w:tcBorders>
              <w:bottom w:val="single" w:sz="4" w:space="0" w:color="auto"/>
            </w:tcBorders>
            <w:shd w:val="clear" w:color="auto" w:fill="FFFFFF" w:themeFill="background1"/>
          </w:tcPr>
          <w:p w14:paraId="64B0FF4F" w14:textId="4BC66A9B" w:rsidR="002E566C" w:rsidRDefault="00432D46" w:rsidP="00B463E3">
            <w:pPr>
              <w:tabs>
                <w:tab w:val="left" w:pos="1252"/>
              </w:tabs>
              <w:jc w:val="both"/>
            </w:pPr>
            <w:r>
              <w:t>8</w:t>
            </w:r>
            <w:r w:rsidR="002E566C">
              <w:t>%</w:t>
            </w:r>
            <w:r w:rsidR="00B463E3">
              <w:tab/>
            </w:r>
          </w:p>
        </w:tc>
      </w:tr>
      <w:tr w:rsidR="002E566C" w14:paraId="232B6ECA" w14:textId="77777777" w:rsidTr="00304E60">
        <w:tc>
          <w:tcPr>
            <w:tcW w:w="1668" w:type="dxa"/>
          </w:tcPr>
          <w:p w14:paraId="1A29BEA9" w14:textId="77777777" w:rsidR="002E566C" w:rsidRDefault="002E566C" w:rsidP="00A8411F">
            <w:pPr>
              <w:jc w:val="both"/>
            </w:pPr>
            <w:r>
              <w:t>Q7 (2.1.2)</w:t>
            </w:r>
          </w:p>
        </w:tc>
        <w:tc>
          <w:tcPr>
            <w:tcW w:w="1412" w:type="dxa"/>
          </w:tcPr>
          <w:p w14:paraId="4E841569" w14:textId="57DCF83E" w:rsidR="002E566C" w:rsidRDefault="004A6571" w:rsidP="00A8411F">
            <w:pPr>
              <w:jc w:val="both"/>
            </w:pPr>
            <w:r>
              <w:t>14</w:t>
            </w:r>
            <w:r w:rsidR="002E566C">
              <w:t>%</w:t>
            </w:r>
          </w:p>
        </w:tc>
        <w:tc>
          <w:tcPr>
            <w:tcW w:w="1540" w:type="dxa"/>
            <w:shd w:val="clear" w:color="auto" w:fill="FFFF99"/>
          </w:tcPr>
          <w:p w14:paraId="3C3649F1" w14:textId="646D7DF0" w:rsidR="002E566C" w:rsidRDefault="004A6571" w:rsidP="00A8411F">
            <w:pPr>
              <w:jc w:val="both"/>
            </w:pPr>
            <w:r>
              <w:t>2</w:t>
            </w:r>
            <w:r w:rsidR="002E566C">
              <w:t>7%</w:t>
            </w:r>
          </w:p>
        </w:tc>
        <w:tc>
          <w:tcPr>
            <w:tcW w:w="1540" w:type="dxa"/>
            <w:tcBorders>
              <w:bottom w:val="single" w:sz="4" w:space="0" w:color="auto"/>
            </w:tcBorders>
            <w:shd w:val="clear" w:color="auto" w:fill="FABF8F" w:themeFill="accent6" w:themeFillTint="99"/>
          </w:tcPr>
          <w:p w14:paraId="09BF7281" w14:textId="2D9FA9C0" w:rsidR="002E566C" w:rsidRDefault="004A6571" w:rsidP="00A8411F">
            <w:pPr>
              <w:jc w:val="both"/>
            </w:pPr>
            <w:r>
              <w:t>41</w:t>
            </w:r>
            <w:r w:rsidR="002E566C">
              <w:t>%</w:t>
            </w:r>
          </w:p>
        </w:tc>
        <w:tc>
          <w:tcPr>
            <w:tcW w:w="1541" w:type="dxa"/>
          </w:tcPr>
          <w:p w14:paraId="10986B13" w14:textId="6DC97FDF" w:rsidR="002E566C" w:rsidRDefault="004A6571" w:rsidP="00A8411F">
            <w:pPr>
              <w:jc w:val="both"/>
            </w:pPr>
            <w:r>
              <w:t>14</w:t>
            </w:r>
            <w:r w:rsidR="002E566C">
              <w:t>%</w:t>
            </w:r>
          </w:p>
        </w:tc>
        <w:tc>
          <w:tcPr>
            <w:tcW w:w="1541" w:type="dxa"/>
            <w:tcBorders>
              <w:bottom w:val="single" w:sz="4" w:space="0" w:color="auto"/>
            </w:tcBorders>
            <w:shd w:val="clear" w:color="auto" w:fill="FFFFFF" w:themeFill="background1"/>
          </w:tcPr>
          <w:p w14:paraId="425071D2" w14:textId="160AE2E3" w:rsidR="002E566C" w:rsidRDefault="004A6571" w:rsidP="00A8411F">
            <w:pPr>
              <w:jc w:val="both"/>
            </w:pPr>
            <w:r>
              <w:t>5</w:t>
            </w:r>
            <w:r w:rsidR="002E566C">
              <w:t>%</w:t>
            </w:r>
          </w:p>
        </w:tc>
      </w:tr>
      <w:tr w:rsidR="002E566C" w14:paraId="40265731" w14:textId="77777777" w:rsidTr="009F1CC9">
        <w:tc>
          <w:tcPr>
            <w:tcW w:w="1668" w:type="dxa"/>
          </w:tcPr>
          <w:p w14:paraId="54460BA1" w14:textId="77777777" w:rsidR="002E566C" w:rsidRDefault="002E566C" w:rsidP="00A8411F">
            <w:pPr>
              <w:jc w:val="both"/>
            </w:pPr>
            <w:r>
              <w:t>Q8 (2.1.3)</w:t>
            </w:r>
          </w:p>
        </w:tc>
        <w:tc>
          <w:tcPr>
            <w:tcW w:w="1412" w:type="dxa"/>
          </w:tcPr>
          <w:p w14:paraId="1E390DEF" w14:textId="5E9C4906" w:rsidR="002E566C" w:rsidRDefault="004A6571" w:rsidP="00A8411F">
            <w:pPr>
              <w:jc w:val="both"/>
            </w:pPr>
            <w:r>
              <w:t>5</w:t>
            </w:r>
            <w:r w:rsidR="002E566C">
              <w:t>%</w:t>
            </w:r>
          </w:p>
        </w:tc>
        <w:tc>
          <w:tcPr>
            <w:tcW w:w="1540" w:type="dxa"/>
          </w:tcPr>
          <w:p w14:paraId="0DD859A0" w14:textId="1EBB993C" w:rsidR="002E566C" w:rsidRDefault="004A6571" w:rsidP="00A8411F">
            <w:pPr>
              <w:jc w:val="both"/>
            </w:pPr>
            <w:r>
              <w:t>13</w:t>
            </w:r>
            <w:r w:rsidR="002E566C">
              <w:t>%</w:t>
            </w:r>
          </w:p>
        </w:tc>
        <w:tc>
          <w:tcPr>
            <w:tcW w:w="1540" w:type="dxa"/>
            <w:shd w:val="clear" w:color="auto" w:fill="FABF8F" w:themeFill="accent6" w:themeFillTint="99"/>
          </w:tcPr>
          <w:p w14:paraId="3FF313C2" w14:textId="76A36D61" w:rsidR="002E566C" w:rsidRDefault="004A6571" w:rsidP="00A8411F">
            <w:pPr>
              <w:jc w:val="both"/>
            </w:pPr>
            <w:r>
              <w:t>40</w:t>
            </w:r>
            <w:r w:rsidR="002E566C">
              <w:t>%</w:t>
            </w:r>
          </w:p>
        </w:tc>
        <w:tc>
          <w:tcPr>
            <w:tcW w:w="1541" w:type="dxa"/>
          </w:tcPr>
          <w:p w14:paraId="6B49E200" w14:textId="2780E5F1" w:rsidR="002E566C" w:rsidRDefault="004A6571" w:rsidP="00A8411F">
            <w:pPr>
              <w:jc w:val="both"/>
            </w:pPr>
            <w:r>
              <w:t>8</w:t>
            </w:r>
            <w:r w:rsidR="002E566C">
              <w:t>%</w:t>
            </w:r>
          </w:p>
        </w:tc>
        <w:tc>
          <w:tcPr>
            <w:tcW w:w="1541" w:type="dxa"/>
            <w:shd w:val="clear" w:color="auto" w:fill="FFFF99"/>
          </w:tcPr>
          <w:p w14:paraId="0C7002C1" w14:textId="43CC8FF0" w:rsidR="002E566C" w:rsidRDefault="004A6571" w:rsidP="00A8411F">
            <w:pPr>
              <w:jc w:val="both"/>
            </w:pPr>
            <w:r>
              <w:t>34</w:t>
            </w:r>
            <w:r w:rsidR="002E566C">
              <w:t>%</w:t>
            </w:r>
          </w:p>
        </w:tc>
      </w:tr>
    </w:tbl>
    <w:p w14:paraId="05F122EF" w14:textId="09876DD0" w:rsidR="002E566C" w:rsidRDefault="002E566C" w:rsidP="002E566C">
      <w:pPr>
        <w:jc w:val="both"/>
        <w:rPr>
          <w:i/>
          <w:sz w:val="18"/>
          <w:szCs w:val="18"/>
        </w:rPr>
      </w:pPr>
      <w:r w:rsidRPr="000A31D7">
        <w:rPr>
          <w:i/>
          <w:sz w:val="18"/>
          <w:szCs w:val="18"/>
        </w:rPr>
        <w:t xml:space="preserve">Figures are rounded to the nearest </w:t>
      </w:r>
      <w:r w:rsidR="00790D34" w:rsidRPr="000A31D7">
        <w:rPr>
          <w:i/>
          <w:sz w:val="18"/>
          <w:szCs w:val="18"/>
        </w:rPr>
        <w:t>percentage point</w:t>
      </w:r>
      <w:r w:rsidRPr="000A31D7">
        <w:rPr>
          <w:i/>
          <w:sz w:val="18"/>
          <w:szCs w:val="18"/>
        </w:rPr>
        <w:t xml:space="preserve"> and therefore may not sum to 100.</w:t>
      </w:r>
    </w:p>
    <w:p w14:paraId="73037F15" w14:textId="51E2764A" w:rsidR="00AE532C" w:rsidRPr="00353E22" w:rsidRDefault="00AE532C" w:rsidP="00353E22">
      <w:pPr>
        <w:ind w:left="993" w:hanging="633"/>
        <w:jc w:val="both"/>
        <w:rPr>
          <w:rStyle w:val="SubtleEmphasis"/>
        </w:rPr>
      </w:pPr>
      <w:r w:rsidRPr="00353E22">
        <w:rPr>
          <w:rStyle w:val="SubtleEmphasis"/>
        </w:rPr>
        <w:t>2.1.1:</w:t>
      </w:r>
      <w:r w:rsidRPr="00353E22">
        <w:rPr>
          <w:rStyle w:val="SubtleEmphasis"/>
        </w:rPr>
        <w:tab/>
        <w:t>The department has a clear policy on how career breaks are considered in relation to appointment and selection.</w:t>
      </w:r>
    </w:p>
    <w:p w14:paraId="77E0DB3B" w14:textId="0B054A55" w:rsidR="00AE532C" w:rsidRPr="00353E22" w:rsidRDefault="00AE532C" w:rsidP="00353E22">
      <w:pPr>
        <w:ind w:left="993" w:hanging="633"/>
        <w:jc w:val="both"/>
        <w:rPr>
          <w:rStyle w:val="SubtleEmphasis"/>
        </w:rPr>
      </w:pPr>
      <w:r w:rsidRPr="00353E22">
        <w:rPr>
          <w:rStyle w:val="SubtleEmphasis"/>
        </w:rPr>
        <w:t>2.1.2:</w:t>
      </w:r>
      <w:r w:rsidRPr="00353E22">
        <w:rPr>
          <w:rStyle w:val="SubtleEmphasis"/>
        </w:rPr>
        <w:tab/>
      </w:r>
      <w:r w:rsidR="00432D46" w:rsidRPr="00432D46">
        <w:rPr>
          <w:rStyle w:val="SubtleEmphasis"/>
        </w:rPr>
        <w:t>The department ensures that all staff involved in hiring decisions have undertaken appropriate equity and diversity training so that they are aware of unconscious gender bias.</w:t>
      </w:r>
    </w:p>
    <w:p w14:paraId="6507B37F" w14:textId="118F21EC" w:rsidR="004A6571" w:rsidRPr="00353E22" w:rsidRDefault="00AE532C" w:rsidP="004A6571">
      <w:pPr>
        <w:ind w:left="993" w:hanging="633"/>
        <w:jc w:val="both"/>
        <w:rPr>
          <w:rStyle w:val="SubtleEmphasis"/>
        </w:rPr>
      </w:pPr>
      <w:r w:rsidRPr="00353E22">
        <w:rPr>
          <w:rStyle w:val="SubtleEmphasis"/>
        </w:rPr>
        <w:t>2.1.3:</w:t>
      </w:r>
      <w:r w:rsidRPr="00353E22">
        <w:rPr>
          <w:rStyle w:val="SubtleEmphasis"/>
        </w:rPr>
        <w:tab/>
        <w:t>There is a departmental induction programme that introduces departmental practices and procedures to all staff, including post-doctoral researchers.</w:t>
      </w:r>
    </w:p>
    <w:p w14:paraId="0ED5ED10" w14:textId="77777777" w:rsidR="002E566C" w:rsidRPr="004C518E" w:rsidRDefault="002E566C" w:rsidP="00FC43AD">
      <w:pPr>
        <w:pStyle w:val="Heading3"/>
      </w:pPr>
      <w:bookmarkStart w:id="7" w:name="_Toc329540725"/>
      <w:r w:rsidRPr="00D9039D">
        <w:rPr>
          <w:b/>
        </w:rPr>
        <w:t>2.2</w:t>
      </w:r>
      <w:r w:rsidRPr="004C518E">
        <w:t xml:space="preserve"> Take positive action to encourage under-represented groups to apply for jobs.</w:t>
      </w:r>
      <w:bookmarkEnd w:id="7"/>
    </w:p>
    <w:p w14:paraId="706D91BD" w14:textId="4002FCF6" w:rsidR="0077170F" w:rsidRDefault="00790D34" w:rsidP="002E566C">
      <w:pPr>
        <w:jc w:val="both"/>
      </w:pPr>
      <w:r>
        <w:t>Quantitative</w:t>
      </w:r>
      <w:r w:rsidR="002E566C">
        <w:t xml:space="preserve"> results indicated </w:t>
      </w:r>
      <w:r w:rsidR="0077170F">
        <w:t>a relatively positive view that the department proactively encourages people of all genders to apply internally for appointment. However, respondents indicated less faith that t</w:t>
      </w:r>
      <w:r w:rsidR="0077170F" w:rsidRPr="0077170F">
        <w:t>he department can identify steps and processes that actively attempt to identify and attract appropriate external candidates of all genders</w:t>
      </w:r>
      <w:r w:rsidR="0077170F">
        <w:t>, with answers falling lower than in 2015. Qualitative responses indicated that there were few proactive policies, and little transparency regarding recruitment.</w:t>
      </w:r>
    </w:p>
    <w:p w14:paraId="5A58CA67" w14:textId="57EB9757" w:rsidR="0077170F" w:rsidRDefault="0077170F" w:rsidP="0077170F">
      <w:pPr>
        <w:jc w:val="both"/>
      </w:pPr>
    </w:p>
    <w:p w14:paraId="19816CCB" w14:textId="77777777" w:rsidR="002E566C" w:rsidRPr="00FC43AD" w:rsidRDefault="002E566C" w:rsidP="002E566C">
      <w:pPr>
        <w:jc w:val="both"/>
        <w:rPr>
          <w:rStyle w:val="Emphasis"/>
        </w:rPr>
      </w:pPr>
      <w:r w:rsidRPr="00FC43AD">
        <w:rPr>
          <w:rStyle w:val="Emphasis"/>
        </w:rPr>
        <w:t>Quantitative summary:</w:t>
      </w:r>
    </w:p>
    <w:tbl>
      <w:tblPr>
        <w:tblStyle w:val="TableGrid"/>
        <w:tblW w:w="0" w:type="auto"/>
        <w:tblLook w:val="04A0" w:firstRow="1" w:lastRow="0" w:firstColumn="1" w:lastColumn="0" w:noHBand="0" w:noVBand="1"/>
      </w:tblPr>
      <w:tblGrid>
        <w:gridCol w:w="1621"/>
        <w:gridCol w:w="1385"/>
        <w:gridCol w:w="1506"/>
        <w:gridCol w:w="1506"/>
        <w:gridCol w:w="1499"/>
        <w:gridCol w:w="1499"/>
      </w:tblGrid>
      <w:tr w:rsidR="002E566C" w14:paraId="6CBFD1CC" w14:textId="77777777" w:rsidTr="00B463E3">
        <w:tc>
          <w:tcPr>
            <w:tcW w:w="1668" w:type="dxa"/>
          </w:tcPr>
          <w:p w14:paraId="1537730D" w14:textId="77777777" w:rsidR="002E566C" w:rsidRDefault="002E566C" w:rsidP="00A8411F">
            <w:pPr>
              <w:jc w:val="both"/>
            </w:pPr>
          </w:p>
        </w:tc>
        <w:tc>
          <w:tcPr>
            <w:tcW w:w="1412" w:type="dxa"/>
            <w:tcBorders>
              <w:bottom w:val="single" w:sz="4" w:space="0" w:color="auto"/>
            </w:tcBorders>
          </w:tcPr>
          <w:p w14:paraId="0B458242" w14:textId="77777777" w:rsidR="002E566C" w:rsidRDefault="002E566C" w:rsidP="00A8411F">
            <w:pPr>
              <w:jc w:val="both"/>
            </w:pPr>
            <w:r>
              <w:t>A</w:t>
            </w:r>
          </w:p>
        </w:tc>
        <w:tc>
          <w:tcPr>
            <w:tcW w:w="1540" w:type="dxa"/>
            <w:tcBorders>
              <w:bottom w:val="single" w:sz="4" w:space="0" w:color="auto"/>
            </w:tcBorders>
          </w:tcPr>
          <w:p w14:paraId="04A2CADD" w14:textId="77777777" w:rsidR="002E566C" w:rsidRDefault="002E566C" w:rsidP="00A8411F">
            <w:pPr>
              <w:jc w:val="both"/>
            </w:pPr>
            <w:r>
              <w:t>B</w:t>
            </w:r>
          </w:p>
        </w:tc>
        <w:tc>
          <w:tcPr>
            <w:tcW w:w="1540" w:type="dxa"/>
          </w:tcPr>
          <w:p w14:paraId="744D2C31" w14:textId="77777777" w:rsidR="002E566C" w:rsidRDefault="002E566C" w:rsidP="00A8411F">
            <w:pPr>
              <w:jc w:val="both"/>
            </w:pPr>
            <w:r>
              <w:t>C</w:t>
            </w:r>
          </w:p>
        </w:tc>
        <w:tc>
          <w:tcPr>
            <w:tcW w:w="1541" w:type="dxa"/>
          </w:tcPr>
          <w:p w14:paraId="4FA53E93" w14:textId="77777777" w:rsidR="002E566C" w:rsidRDefault="002E566C" w:rsidP="00A8411F">
            <w:pPr>
              <w:jc w:val="both"/>
            </w:pPr>
            <w:r>
              <w:t>D</w:t>
            </w:r>
          </w:p>
        </w:tc>
        <w:tc>
          <w:tcPr>
            <w:tcW w:w="1541" w:type="dxa"/>
          </w:tcPr>
          <w:p w14:paraId="115E611A" w14:textId="77777777" w:rsidR="002E566C" w:rsidRDefault="002E566C" w:rsidP="00A8411F">
            <w:pPr>
              <w:jc w:val="both"/>
            </w:pPr>
            <w:r>
              <w:t>E</w:t>
            </w:r>
          </w:p>
        </w:tc>
      </w:tr>
      <w:tr w:rsidR="002E566C" w14:paraId="647355FC" w14:textId="77777777" w:rsidTr="009F1CC9">
        <w:tc>
          <w:tcPr>
            <w:tcW w:w="1668" w:type="dxa"/>
          </w:tcPr>
          <w:p w14:paraId="15E07786" w14:textId="77777777" w:rsidR="002E566C" w:rsidRDefault="002E566C" w:rsidP="00A8411F">
            <w:pPr>
              <w:jc w:val="both"/>
            </w:pPr>
            <w:r>
              <w:t>Q9 (2.2.1)</w:t>
            </w:r>
          </w:p>
        </w:tc>
        <w:tc>
          <w:tcPr>
            <w:tcW w:w="1412" w:type="dxa"/>
            <w:tcBorders>
              <w:bottom w:val="single" w:sz="4" w:space="0" w:color="auto"/>
            </w:tcBorders>
            <w:shd w:val="clear" w:color="auto" w:fill="FFFF99"/>
          </w:tcPr>
          <w:p w14:paraId="5F55FF42" w14:textId="5B782E3B" w:rsidR="002E566C" w:rsidRDefault="004A6571" w:rsidP="00A8411F">
            <w:pPr>
              <w:jc w:val="both"/>
            </w:pPr>
            <w:r>
              <w:t>30</w:t>
            </w:r>
            <w:r w:rsidR="002E566C">
              <w:t>%</w:t>
            </w:r>
          </w:p>
        </w:tc>
        <w:tc>
          <w:tcPr>
            <w:tcW w:w="1540" w:type="dxa"/>
            <w:tcBorders>
              <w:bottom w:val="single" w:sz="4" w:space="0" w:color="auto"/>
            </w:tcBorders>
            <w:shd w:val="clear" w:color="auto" w:fill="FFFF99"/>
          </w:tcPr>
          <w:p w14:paraId="012E6DEF" w14:textId="0C14461E" w:rsidR="002E566C" w:rsidRDefault="004A6571" w:rsidP="00A8411F">
            <w:pPr>
              <w:jc w:val="both"/>
            </w:pPr>
            <w:r>
              <w:t>32</w:t>
            </w:r>
            <w:r w:rsidR="002E566C">
              <w:t>%</w:t>
            </w:r>
          </w:p>
        </w:tc>
        <w:tc>
          <w:tcPr>
            <w:tcW w:w="1540" w:type="dxa"/>
            <w:shd w:val="clear" w:color="auto" w:fill="FFFF99"/>
          </w:tcPr>
          <w:p w14:paraId="6D3C0CF7" w14:textId="2A3FE17B" w:rsidR="002E566C" w:rsidRDefault="004A6571" w:rsidP="00A8411F">
            <w:pPr>
              <w:jc w:val="both"/>
            </w:pPr>
            <w:r>
              <w:t>2</w:t>
            </w:r>
            <w:r w:rsidR="002E566C">
              <w:t>4%</w:t>
            </w:r>
          </w:p>
        </w:tc>
        <w:tc>
          <w:tcPr>
            <w:tcW w:w="1541" w:type="dxa"/>
          </w:tcPr>
          <w:p w14:paraId="33CA40D7" w14:textId="77777777" w:rsidR="002E566C" w:rsidRDefault="002E566C" w:rsidP="00A8411F">
            <w:pPr>
              <w:jc w:val="both"/>
            </w:pPr>
            <w:r>
              <w:t>8%</w:t>
            </w:r>
          </w:p>
        </w:tc>
        <w:tc>
          <w:tcPr>
            <w:tcW w:w="1541" w:type="dxa"/>
          </w:tcPr>
          <w:p w14:paraId="712646B4" w14:textId="4CE614B3" w:rsidR="002E566C" w:rsidRDefault="004A6571" w:rsidP="00A8411F">
            <w:pPr>
              <w:jc w:val="both"/>
            </w:pPr>
            <w:r>
              <w:t>5</w:t>
            </w:r>
            <w:r w:rsidR="002E566C">
              <w:t>%</w:t>
            </w:r>
          </w:p>
        </w:tc>
      </w:tr>
      <w:tr w:rsidR="002E566C" w14:paraId="629171E8" w14:textId="77777777" w:rsidTr="00304E60">
        <w:tc>
          <w:tcPr>
            <w:tcW w:w="1668" w:type="dxa"/>
          </w:tcPr>
          <w:p w14:paraId="37B68248" w14:textId="77777777" w:rsidR="002E566C" w:rsidRDefault="002E566C" w:rsidP="00A8411F">
            <w:pPr>
              <w:jc w:val="both"/>
            </w:pPr>
            <w:r>
              <w:t>Q10 (2.2.2)</w:t>
            </w:r>
          </w:p>
        </w:tc>
        <w:tc>
          <w:tcPr>
            <w:tcW w:w="1412" w:type="dxa"/>
            <w:shd w:val="clear" w:color="auto" w:fill="FFFFFF" w:themeFill="background1"/>
          </w:tcPr>
          <w:p w14:paraId="6FB0E6E9" w14:textId="139D433F" w:rsidR="002E566C" w:rsidRDefault="004A6571" w:rsidP="00A8411F">
            <w:pPr>
              <w:jc w:val="both"/>
            </w:pPr>
            <w:r>
              <w:t>16</w:t>
            </w:r>
            <w:r w:rsidR="002E566C">
              <w:t>%</w:t>
            </w:r>
          </w:p>
        </w:tc>
        <w:tc>
          <w:tcPr>
            <w:tcW w:w="1540" w:type="dxa"/>
            <w:shd w:val="clear" w:color="auto" w:fill="FFFF99"/>
          </w:tcPr>
          <w:p w14:paraId="709761EB" w14:textId="3B2BFC69" w:rsidR="002E566C" w:rsidRDefault="004A6571" w:rsidP="00A8411F">
            <w:pPr>
              <w:jc w:val="both"/>
            </w:pPr>
            <w:r>
              <w:t>30</w:t>
            </w:r>
            <w:r w:rsidR="002E566C">
              <w:t>%</w:t>
            </w:r>
          </w:p>
        </w:tc>
        <w:tc>
          <w:tcPr>
            <w:tcW w:w="1540" w:type="dxa"/>
            <w:shd w:val="clear" w:color="auto" w:fill="FABF8F" w:themeFill="accent6" w:themeFillTint="99"/>
          </w:tcPr>
          <w:p w14:paraId="7A945626" w14:textId="5D7BF899" w:rsidR="002E566C" w:rsidRDefault="004A6571" w:rsidP="00A8411F">
            <w:pPr>
              <w:jc w:val="both"/>
            </w:pPr>
            <w:r>
              <w:t>40</w:t>
            </w:r>
            <w:r w:rsidR="002E566C">
              <w:t>%</w:t>
            </w:r>
          </w:p>
        </w:tc>
        <w:tc>
          <w:tcPr>
            <w:tcW w:w="1541" w:type="dxa"/>
          </w:tcPr>
          <w:p w14:paraId="27B9F1A8" w14:textId="3F66B21E" w:rsidR="002E566C" w:rsidRDefault="004A6571" w:rsidP="00A8411F">
            <w:pPr>
              <w:jc w:val="both"/>
            </w:pPr>
            <w:r>
              <w:t>5</w:t>
            </w:r>
            <w:r w:rsidR="002E566C">
              <w:t>%</w:t>
            </w:r>
          </w:p>
        </w:tc>
        <w:tc>
          <w:tcPr>
            <w:tcW w:w="1541" w:type="dxa"/>
          </w:tcPr>
          <w:p w14:paraId="23788BA1" w14:textId="687576A5" w:rsidR="002E566C" w:rsidRDefault="004A6571" w:rsidP="00A8411F">
            <w:pPr>
              <w:jc w:val="both"/>
            </w:pPr>
            <w:r>
              <w:t>8</w:t>
            </w:r>
            <w:r w:rsidR="002E566C">
              <w:t>%</w:t>
            </w:r>
          </w:p>
        </w:tc>
      </w:tr>
    </w:tbl>
    <w:p w14:paraId="1387362C" w14:textId="2B8C8CDF" w:rsidR="002E566C" w:rsidRDefault="002E566C" w:rsidP="002E566C">
      <w:pPr>
        <w:jc w:val="both"/>
        <w:rPr>
          <w:i/>
          <w:sz w:val="18"/>
          <w:szCs w:val="18"/>
        </w:rPr>
      </w:pPr>
      <w:r w:rsidRPr="000A31D7">
        <w:rPr>
          <w:i/>
          <w:sz w:val="18"/>
          <w:szCs w:val="18"/>
        </w:rPr>
        <w:t xml:space="preserve">Figures are rounded to the nearest </w:t>
      </w:r>
      <w:r w:rsidR="00790D34" w:rsidRPr="000A31D7">
        <w:rPr>
          <w:i/>
          <w:sz w:val="18"/>
          <w:szCs w:val="18"/>
        </w:rPr>
        <w:t>percentage point</w:t>
      </w:r>
      <w:r w:rsidRPr="000A31D7">
        <w:rPr>
          <w:i/>
          <w:sz w:val="18"/>
          <w:szCs w:val="18"/>
        </w:rPr>
        <w:t xml:space="preserve"> and therefore may not sum to 100.</w:t>
      </w:r>
    </w:p>
    <w:p w14:paraId="57756D51" w14:textId="1B8C64CF" w:rsidR="0087622B" w:rsidRPr="0087622B" w:rsidRDefault="0087622B" w:rsidP="00F12114">
      <w:pPr>
        <w:ind w:left="993" w:hanging="633"/>
        <w:jc w:val="both"/>
        <w:rPr>
          <w:rStyle w:val="SubtleEmphasis"/>
        </w:rPr>
      </w:pPr>
      <w:r w:rsidRPr="0087622B">
        <w:rPr>
          <w:rStyle w:val="SubtleEmphasis"/>
        </w:rPr>
        <w:t>2.2.1:</w:t>
      </w:r>
      <w:r w:rsidRPr="0087622B">
        <w:rPr>
          <w:rStyle w:val="SubtleEmphasis"/>
        </w:rPr>
        <w:tab/>
      </w:r>
      <w:r w:rsidR="004A6571" w:rsidRPr="004A6571">
        <w:rPr>
          <w:rStyle w:val="SubtleEmphasis"/>
        </w:rPr>
        <w:t>The department proactively encourages people of all genders to apply internally for appointment.</w:t>
      </w:r>
    </w:p>
    <w:p w14:paraId="22F31C61" w14:textId="2738DBD9" w:rsidR="0087622B" w:rsidRPr="0087622B" w:rsidRDefault="0087622B" w:rsidP="00F12114">
      <w:pPr>
        <w:ind w:left="993" w:hanging="633"/>
        <w:jc w:val="both"/>
        <w:rPr>
          <w:rStyle w:val="SubtleEmphasis"/>
        </w:rPr>
      </w:pPr>
      <w:r w:rsidRPr="0087622B">
        <w:rPr>
          <w:rStyle w:val="SubtleEmphasis"/>
        </w:rPr>
        <w:t>2.1.2:</w:t>
      </w:r>
      <w:r w:rsidRPr="0087622B">
        <w:rPr>
          <w:rStyle w:val="SubtleEmphasis"/>
        </w:rPr>
        <w:tab/>
      </w:r>
      <w:r w:rsidR="004A6571" w:rsidRPr="004A6571">
        <w:rPr>
          <w:rStyle w:val="SubtleEmphasis"/>
        </w:rPr>
        <w:t>The department can identify steps and processes that actively attempt to identify and attract appropriate external candidates of all genders.</w:t>
      </w:r>
      <w:r w:rsidR="004A6571">
        <w:rPr>
          <w:rStyle w:val="SubtleEmphasis"/>
        </w:rPr>
        <w:t xml:space="preserve"> </w:t>
      </w:r>
      <w:r w:rsidR="004A6571" w:rsidRPr="004A6571">
        <w:rPr>
          <w:rStyle w:val="SubtleEmphasis"/>
          <w:b/>
        </w:rPr>
        <w:t>(This is worse)</w:t>
      </w:r>
    </w:p>
    <w:p w14:paraId="7696998D" w14:textId="77777777" w:rsidR="00520044" w:rsidRDefault="00520044" w:rsidP="00FC43AD">
      <w:pPr>
        <w:pStyle w:val="Heading2"/>
        <w:sectPr w:rsidR="00520044" w:rsidSect="00F12114">
          <w:pgSz w:w="11906" w:h="16838"/>
          <w:pgMar w:top="1440" w:right="1440" w:bottom="1440" w:left="1440" w:header="709" w:footer="709" w:gutter="0"/>
          <w:cols w:space="708"/>
          <w:docGrid w:linePitch="360"/>
        </w:sectPr>
      </w:pPr>
    </w:p>
    <w:p w14:paraId="4535EA3F" w14:textId="28278619" w:rsidR="002E566C" w:rsidRDefault="002E566C" w:rsidP="00FC43AD">
      <w:pPr>
        <w:pStyle w:val="Heading2"/>
      </w:pPr>
      <w:bookmarkStart w:id="8" w:name="_Toc329540726"/>
      <w:r w:rsidRPr="008C5954">
        <w:rPr>
          <w:b/>
        </w:rPr>
        <w:lastRenderedPageBreak/>
        <w:t>Principle 3</w:t>
      </w:r>
      <w:r w:rsidRPr="004C518E">
        <w:t xml:space="preserve">: Departmental structures and systems </w:t>
      </w:r>
      <w:r w:rsidR="00F22309">
        <w:t>that</w:t>
      </w:r>
      <w:r w:rsidRPr="004C518E">
        <w:t xml:space="preserve"> support and encourage the </w:t>
      </w:r>
      <w:r w:rsidR="00790D34" w:rsidRPr="004C518E">
        <w:t>career</w:t>
      </w:r>
      <w:r w:rsidRPr="004C518E">
        <w:t xml:space="preserve"> progression and promotion of all staff and enable men and women to progress and continue in their careers.</w:t>
      </w:r>
      <w:bookmarkEnd w:id="8"/>
    </w:p>
    <w:p w14:paraId="4068542E" w14:textId="77777777" w:rsidR="002E566C" w:rsidRPr="00473DEC" w:rsidRDefault="002E566C" w:rsidP="002E566C">
      <w:pPr>
        <w:jc w:val="both"/>
        <w:rPr>
          <w:b/>
        </w:rPr>
      </w:pPr>
    </w:p>
    <w:p w14:paraId="7D725069" w14:textId="77777777" w:rsidR="002E566C" w:rsidRPr="00473DEC" w:rsidRDefault="002E566C" w:rsidP="00FC43AD">
      <w:pPr>
        <w:pStyle w:val="Heading3"/>
      </w:pPr>
      <w:bookmarkStart w:id="9" w:name="_Toc329540727"/>
      <w:r w:rsidRPr="00D9039D">
        <w:rPr>
          <w:b/>
        </w:rPr>
        <w:t>3.1</w:t>
      </w:r>
      <w:r w:rsidRPr="00473DEC">
        <w:t xml:space="preserve"> Tr</w:t>
      </w:r>
      <w:r>
        <w:t>ansparent appraisal and develop</w:t>
      </w:r>
      <w:r w:rsidRPr="00473DEC">
        <w:t>m</w:t>
      </w:r>
      <w:r>
        <w:t>e</w:t>
      </w:r>
      <w:r w:rsidRPr="00473DEC">
        <w:t>nt.</w:t>
      </w:r>
      <w:bookmarkEnd w:id="9"/>
    </w:p>
    <w:p w14:paraId="12AA5949" w14:textId="70439316" w:rsidR="009417AF" w:rsidRDefault="002E566C" w:rsidP="002E566C">
      <w:pPr>
        <w:jc w:val="both"/>
        <w:rPr>
          <w:iCs/>
        </w:rPr>
      </w:pPr>
      <w:r>
        <w:t>Quantitative respo</w:t>
      </w:r>
      <w:r w:rsidR="009417AF">
        <w:t xml:space="preserve">nses in this section were mixed, with two measures </w:t>
      </w:r>
      <w:r w:rsidR="002B677D">
        <w:t xml:space="preserve">on the appraisal of staff </w:t>
      </w:r>
      <w:r w:rsidR="009417AF">
        <w:t xml:space="preserve">(Q11 and Q12) falling lower than 2015. Question 16, that </w:t>
      </w:r>
      <w:r w:rsidR="009417AF" w:rsidRPr="009417AF">
        <w:rPr>
          <w:iCs/>
        </w:rPr>
        <w:t>the department encourages all staff (i.e. trains them and provides them with guidanc</w:t>
      </w:r>
      <w:r w:rsidR="009417AF">
        <w:rPr>
          <w:iCs/>
        </w:rPr>
        <w:t>e) to become mentors or mentees, was rated particularly poorly.</w:t>
      </w:r>
    </w:p>
    <w:p w14:paraId="5A24454B" w14:textId="78BFC709" w:rsidR="009417AF" w:rsidRDefault="009417AF" w:rsidP="002E566C">
      <w:pPr>
        <w:jc w:val="both"/>
        <w:rPr>
          <w:iCs/>
        </w:rPr>
      </w:pPr>
      <w:r>
        <w:rPr>
          <w:iCs/>
        </w:rPr>
        <w:t xml:space="preserve">Comments indicated that mentoring was an area of </w:t>
      </w:r>
      <w:r w:rsidR="002B677D">
        <w:rPr>
          <w:iCs/>
        </w:rPr>
        <w:t xml:space="preserve">particular </w:t>
      </w:r>
      <w:r>
        <w:rPr>
          <w:iCs/>
        </w:rPr>
        <w:t>weakness f</w:t>
      </w:r>
      <w:r w:rsidR="002B677D">
        <w:rPr>
          <w:iCs/>
        </w:rPr>
        <w:t>or the Physics Department, stating that any mentoring which occurred was informal. One respondent indicated that the APR process provided semi-regular appraisal of staff, but that there was no transparency about whether mentoring was valued at all in the promotion process. The recent APR changes were seen as having made this more ambiguous. Respondents also indicated that this is an area where changes could be relatively easy to achieve, and could be modelled after other formal mentoring schemes at the University of Auckland.</w:t>
      </w:r>
    </w:p>
    <w:p w14:paraId="2436A3C1" w14:textId="77777777" w:rsidR="00C046A3" w:rsidRDefault="00C046A3" w:rsidP="002B677D">
      <w:pPr>
        <w:ind w:firstLine="0"/>
        <w:jc w:val="both"/>
      </w:pPr>
    </w:p>
    <w:p w14:paraId="5F34DA1C" w14:textId="77777777" w:rsidR="00C046A3" w:rsidRDefault="00C046A3" w:rsidP="002E566C">
      <w:pPr>
        <w:jc w:val="both"/>
      </w:pPr>
    </w:p>
    <w:p w14:paraId="65C685BC" w14:textId="77777777" w:rsidR="002E566C" w:rsidRPr="00FC43AD" w:rsidRDefault="002E566C" w:rsidP="002E566C">
      <w:pPr>
        <w:jc w:val="both"/>
        <w:rPr>
          <w:rStyle w:val="Emphasis"/>
        </w:rPr>
      </w:pPr>
      <w:r w:rsidRPr="00FC43AD">
        <w:rPr>
          <w:rStyle w:val="Emphasis"/>
        </w:rPr>
        <w:t>Quantitative summary:</w:t>
      </w:r>
    </w:p>
    <w:tbl>
      <w:tblPr>
        <w:tblStyle w:val="TableGrid"/>
        <w:tblW w:w="0" w:type="auto"/>
        <w:tblLook w:val="04A0" w:firstRow="1" w:lastRow="0" w:firstColumn="1" w:lastColumn="0" w:noHBand="0" w:noVBand="1"/>
      </w:tblPr>
      <w:tblGrid>
        <w:gridCol w:w="1618"/>
        <w:gridCol w:w="1384"/>
        <w:gridCol w:w="1503"/>
        <w:gridCol w:w="1503"/>
        <w:gridCol w:w="1504"/>
        <w:gridCol w:w="1504"/>
      </w:tblGrid>
      <w:tr w:rsidR="002E566C" w14:paraId="00DCA59B" w14:textId="77777777" w:rsidTr="00B463E3">
        <w:tc>
          <w:tcPr>
            <w:tcW w:w="1668" w:type="dxa"/>
          </w:tcPr>
          <w:p w14:paraId="0C056BF8" w14:textId="77777777" w:rsidR="002E566C" w:rsidRDefault="002E566C" w:rsidP="00A8411F">
            <w:pPr>
              <w:jc w:val="both"/>
            </w:pPr>
          </w:p>
        </w:tc>
        <w:tc>
          <w:tcPr>
            <w:tcW w:w="1412" w:type="dxa"/>
            <w:tcBorders>
              <w:bottom w:val="single" w:sz="4" w:space="0" w:color="auto"/>
            </w:tcBorders>
          </w:tcPr>
          <w:p w14:paraId="470BC76F" w14:textId="77777777" w:rsidR="002E566C" w:rsidRDefault="002E566C" w:rsidP="00A8411F">
            <w:pPr>
              <w:jc w:val="both"/>
            </w:pPr>
            <w:r>
              <w:t>A</w:t>
            </w:r>
          </w:p>
        </w:tc>
        <w:tc>
          <w:tcPr>
            <w:tcW w:w="1540" w:type="dxa"/>
            <w:tcBorders>
              <w:bottom w:val="single" w:sz="4" w:space="0" w:color="auto"/>
            </w:tcBorders>
          </w:tcPr>
          <w:p w14:paraId="29EECBF6" w14:textId="77777777" w:rsidR="002E566C" w:rsidRDefault="002E566C" w:rsidP="00A8411F">
            <w:pPr>
              <w:jc w:val="both"/>
            </w:pPr>
            <w:r>
              <w:t>B</w:t>
            </w:r>
          </w:p>
        </w:tc>
        <w:tc>
          <w:tcPr>
            <w:tcW w:w="1540" w:type="dxa"/>
          </w:tcPr>
          <w:p w14:paraId="49135FA7" w14:textId="77777777" w:rsidR="002E566C" w:rsidRDefault="002E566C" w:rsidP="00A8411F">
            <w:pPr>
              <w:jc w:val="both"/>
            </w:pPr>
            <w:r>
              <w:t>C</w:t>
            </w:r>
          </w:p>
        </w:tc>
        <w:tc>
          <w:tcPr>
            <w:tcW w:w="1541" w:type="dxa"/>
          </w:tcPr>
          <w:p w14:paraId="074967DB" w14:textId="77777777" w:rsidR="002E566C" w:rsidRDefault="002E566C" w:rsidP="00A8411F">
            <w:pPr>
              <w:jc w:val="both"/>
            </w:pPr>
            <w:r>
              <w:t>D</w:t>
            </w:r>
          </w:p>
        </w:tc>
        <w:tc>
          <w:tcPr>
            <w:tcW w:w="1541" w:type="dxa"/>
          </w:tcPr>
          <w:p w14:paraId="2621FC66" w14:textId="77777777" w:rsidR="002E566C" w:rsidRDefault="002E566C" w:rsidP="00A8411F">
            <w:pPr>
              <w:jc w:val="both"/>
            </w:pPr>
            <w:r>
              <w:t>E</w:t>
            </w:r>
          </w:p>
        </w:tc>
      </w:tr>
      <w:tr w:rsidR="002E566C" w14:paraId="0502B9F9" w14:textId="77777777" w:rsidTr="00304E60">
        <w:tc>
          <w:tcPr>
            <w:tcW w:w="1668" w:type="dxa"/>
          </w:tcPr>
          <w:p w14:paraId="2BC9E8E7" w14:textId="77777777" w:rsidR="002E566C" w:rsidRDefault="002E566C" w:rsidP="00A8411F">
            <w:pPr>
              <w:jc w:val="both"/>
            </w:pPr>
            <w:r>
              <w:t>Q11 (3.1.1)</w:t>
            </w:r>
          </w:p>
        </w:tc>
        <w:tc>
          <w:tcPr>
            <w:tcW w:w="1412" w:type="dxa"/>
            <w:shd w:val="clear" w:color="auto" w:fill="FFFFFF" w:themeFill="background1"/>
          </w:tcPr>
          <w:p w14:paraId="7BF8A53B" w14:textId="53090B2C" w:rsidR="002E566C" w:rsidRDefault="004A6571" w:rsidP="00A8411F">
            <w:pPr>
              <w:jc w:val="both"/>
            </w:pPr>
            <w:r>
              <w:t>16</w:t>
            </w:r>
            <w:r w:rsidR="002E566C">
              <w:t>%</w:t>
            </w:r>
          </w:p>
        </w:tc>
        <w:tc>
          <w:tcPr>
            <w:tcW w:w="1540" w:type="dxa"/>
            <w:tcBorders>
              <w:bottom w:val="single" w:sz="4" w:space="0" w:color="auto"/>
            </w:tcBorders>
            <w:shd w:val="clear" w:color="auto" w:fill="FFFF99"/>
          </w:tcPr>
          <w:p w14:paraId="0CE7C06F" w14:textId="679A2790" w:rsidR="002E566C" w:rsidRDefault="004A6571" w:rsidP="00A8411F">
            <w:pPr>
              <w:jc w:val="both"/>
            </w:pPr>
            <w:r>
              <w:t>3</w:t>
            </w:r>
            <w:r w:rsidR="002E566C">
              <w:t>0%</w:t>
            </w:r>
          </w:p>
        </w:tc>
        <w:tc>
          <w:tcPr>
            <w:tcW w:w="1540" w:type="dxa"/>
            <w:shd w:val="clear" w:color="auto" w:fill="FFFF99"/>
          </w:tcPr>
          <w:p w14:paraId="31CE2516" w14:textId="5881BC5D" w:rsidR="002E566C" w:rsidRDefault="004A6571" w:rsidP="00A8411F">
            <w:pPr>
              <w:jc w:val="both"/>
            </w:pPr>
            <w:r>
              <w:t>24</w:t>
            </w:r>
            <w:r w:rsidR="002E566C">
              <w:t>%</w:t>
            </w:r>
          </w:p>
        </w:tc>
        <w:tc>
          <w:tcPr>
            <w:tcW w:w="1541" w:type="dxa"/>
          </w:tcPr>
          <w:p w14:paraId="4C7190C3" w14:textId="7BD0B995" w:rsidR="002E566C" w:rsidRDefault="004A6571" w:rsidP="00A8411F">
            <w:pPr>
              <w:jc w:val="both"/>
            </w:pPr>
            <w:r>
              <w:t>16</w:t>
            </w:r>
            <w:r w:rsidR="002E566C">
              <w:t>%</w:t>
            </w:r>
          </w:p>
        </w:tc>
        <w:tc>
          <w:tcPr>
            <w:tcW w:w="1541" w:type="dxa"/>
          </w:tcPr>
          <w:p w14:paraId="3BCB6587" w14:textId="4B4D5C51" w:rsidR="002E566C" w:rsidRDefault="004A6571" w:rsidP="004A6571">
            <w:pPr>
              <w:jc w:val="both"/>
            </w:pPr>
            <w:r>
              <w:t>14</w:t>
            </w:r>
            <w:r w:rsidR="002E566C">
              <w:t>%</w:t>
            </w:r>
          </w:p>
        </w:tc>
      </w:tr>
      <w:tr w:rsidR="002E566C" w14:paraId="227EC053" w14:textId="77777777" w:rsidTr="00304E60">
        <w:tc>
          <w:tcPr>
            <w:tcW w:w="1668" w:type="dxa"/>
          </w:tcPr>
          <w:p w14:paraId="54A53556" w14:textId="77777777" w:rsidR="002E566C" w:rsidRDefault="002E566C" w:rsidP="00A8411F">
            <w:pPr>
              <w:jc w:val="both"/>
            </w:pPr>
            <w:r>
              <w:t>Q12 (3.1.2)</w:t>
            </w:r>
          </w:p>
        </w:tc>
        <w:tc>
          <w:tcPr>
            <w:tcW w:w="1412" w:type="dxa"/>
          </w:tcPr>
          <w:p w14:paraId="60FC00B4" w14:textId="6672A899" w:rsidR="002E566C" w:rsidRDefault="004A6571" w:rsidP="00A8411F">
            <w:pPr>
              <w:jc w:val="both"/>
            </w:pPr>
            <w:r>
              <w:t>6</w:t>
            </w:r>
            <w:r w:rsidR="002E566C">
              <w:t>%</w:t>
            </w:r>
          </w:p>
        </w:tc>
        <w:tc>
          <w:tcPr>
            <w:tcW w:w="1540" w:type="dxa"/>
            <w:shd w:val="clear" w:color="auto" w:fill="FFFFFF" w:themeFill="background1"/>
          </w:tcPr>
          <w:p w14:paraId="3EB3D8C6" w14:textId="7C0D0538" w:rsidR="002E566C" w:rsidRDefault="004A6571" w:rsidP="00A8411F">
            <w:pPr>
              <w:jc w:val="both"/>
            </w:pPr>
            <w:r>
              <w:t>19%</w:t>
            </w:r>
          </w:p>
        </w:tc>
        <w:tc>
          <w:tcPr>
            <w:tcW w:w="1540" w:type="dxa"/>
            <w:tcBorders>
              <w:bottom w:val="single" w:sz="4" w:space="0" w:color="auto"/>
            </w:tcBorders>
            <w:shd w:val="clear" w:color="auto" w:fill="FFFF99"/>
          </w:tcPr>
          <w:p w14:paraId="1490068A" w14:textId="762E5159" w:rsidR="002E566C" w:rsidRDefault="004A6571" w:rsidP="00A8411F">
            <w:pPr>
              <w:jc w:val="both"/>
            </w:pPr>
            <w:r>
              <w:t>39%</w:t>
            </w:r>
          </w:p>
        </w:tc>
        <w:tc>
          <w:tcPr>
            <w:tcW w:w="1541" w:type="dxa"/>
          </w:tcPr>
          <w:p w14:paraId="7457911B" w14:textId="255C77B9" w:rsidR="002E566C" w:rsidRDefault="004A6571" w:rsidP="00A8411F">
            <w:pPr>
              <w:jc w:val="both"/>
            </w:pPr>
            <w:r>
              <w:t>19%</w:t>
            </w:r>
          </w:p>
        </w:tc>
        <w:tc>
          <w:tcPr>
            <w:tcW w:w="1541" w:type="dxa"/>
            <w:tcBorders>
              <w:bottom w:val="single" w:sz="4" w:space="0" w:color="auto"/>
            </w:tcBorders>
          </w:tcPr>
          <w:p w14:paraId="5E66A2C1" w14:textId="77777777" w:rsidR="002E566C" w:rsidRDefault="002E566C" w:rsidP="00A8411F">
            <w:pPr>
              <w:jc w:val="both"/>
            </w:pPr>
            <w:r>
              <w:t>17%</w:t>
            </w:r>
          </w:p>
        </w:tc>
      </w:tr>
      <w:tr w:rsidR="004A6571" w14:paraId="70A59793" w14:textId="77777777" w:rsidTr="00304E60">
        <w:tc>
          <w:tcPr>
            <w:tcW w:w="1668" w:type="dxa"/>
          </w:tcPr>
          <w:p w14:paraId="4208B717" w14:textId="7845E80F" w:rsidR="004A6571" w:rsidRDefault="004A6571" w:rsidP="00A8411F">
            <w:pPr>
              <w:jc w:val="both"/>
            </w:pPr>
            <w:r w:rsidRPr="004A6571">
              <w:rPr>
                <w:lang w:val="en-AU"/>
              </w:rPr>
              <w:t>Q13 (3.1.3</w:t>
            </w:r>
            <w:r>
              <w:rPr>
                <w:lang w:val="en-AU"/>
              </w:rPr>
              <w:t>a</w:t>
            </w:r>
            <w:r w:rsidRPr="004A6571">
              <w:rPr>
                <w:lang w:val="en-AU"/>
              </w:rPr>
              <w:t>)</w:t>
            </w:r>
          </w:p>
        </w:tc>
        <w:tc>
          <w:tcPr>
            <w:tcW w:w="1412" w:type="dxa"/>
          </w:tcPr>
          <w:p w14:paraId="6364BC54" w14:textId="6AFA633C" w:rsidR="004A6571" w:rsidRDefault="004A6571" w:rsidP="00A8411F">
            <w:pPr>
              <w:jc w:val="both"/>
            </w:pPr>
            <w:r>
              <w:t>3</w:t>
            </w:r>
            <w:r w:rsidR="00C84D78">
              <w:t>%</w:t>
            </w:r>
          </w:p>
        </w:tc>
        <w:tc>
          <w:tcPr>
            <w:tcW w:w="1540" w:type="dxa"/>
            <w:shd w:val="clear" w:color="auto" w:fill="FFFFFF" w:themeFill="background1"/>
          </w:tcPr>
          <w:p w14:paraId="2A99DBFA" w14:textId="2E6EC7F9" w:rsidR="004A6571" w:rsidRDefault="004A6571" w:rsidP="00A8411F">
            <w:pPr>
              <w:jc w:val="both"/>
            </w:pPr>
            <w:r>
              <w:t>16</w:t>
            </w:r>
            <w:r w:rsidR="00C84D78">
              <w:t>%</w:t>
            </w:r>
          </w:p>
        </w:tc>
        <w:tc>
          <w:tcPr>
            <w:tcW w:w="1540" w:type="dxa"/>
            <w:tcBorders>
              <w:bottom w:val="single" w:sz="4" w:space="0" w:color="auto"/>
            </w:tcBorders>
            <w:shd w:val="clear" w:color="auto" w:fill="FFFF99"/>
          </w:tcPr>
          <w:p w14:paraId="6B98CA27" w14:textId="478E0551" w:rsidR="004A6571" w:rsidRDefault="00C84D78" w:rsidP="00A8411F">
            <w:pPr>
              <w:jc w:val="both"/>
            </w:pPr>
            <w:r>
              <w:t>24%</w:t>
            </w:r>
          </w:p>
        </w:tc>
        <w:tc>
          <w:tcPr>
            <w:tcW w:w="1541" w:type="dxa"/>
          </w:tcPr>
          <w:p w14:paraId="5F902D2E" w14:textId="22BDF573" w:rsidR="004A6571" w:rsidRDefault="00C84D78" w:rsidP="00A8411F">
            <w:pPr>
              <w:jc w:val="both"/>
            </w:pPr>
            <w:r>
              <w:t>18%</w:t>
            </w:r>
          </w:p>
        </w:tc>
        <w:tc>
          <w:tcPr>
            <w:tcW w:w="1541" w:type="dxa"/>
            <w:tcBorders>
              <w:bottom w:val="single" w:sz="4" w:space="0" w:color="auto"/>
            </w:tcBorders>
            <w:shd w:val="clear" w:color="auto" w:fill="FFFF99"/>
          </w:tcPr>
          <w:p w14:paraId="39223705" w14:textId="5C5B4FB5" w:rsidR="004A6571" w:rsidRDefault="00C84D78" w:rsidP="00A8411F">
            <w:pPr>
              <w:jc w:val="both"/>
            </w:pPr>
            <w:r>
              <w:t>39%</w:t>
            </w:r>
          </w:p>
        </w:tc>
      </w:tr>
      <w:tr w:rsidR="002E566C" w14:paraId="00C43E93" w14:textId="77777777" w:rsidTr="00304E60">
        <w:tc>
          <w:tcPr>
            <w:tcW w:w="1668" w:type="dxa"/>
          </w:tcPr>
          <w:p w14:paraId="73A4ED71" w14:textId="2CE480FC" w:rsidR="002E566C" w:rsidRDefault="002E566C" w:rsidP="00A8411F">
            <w:pPr>
              <w:jc w:val="both"/>
            </w:pPr>
            <w:r>
              <w:t>Q13 (3.1.3</w:t>
            </w:r>
            <w:r w:rsidR="004A6571">
              <w:t>b</w:t>
            </w:r>
            <w:r>
              <w:t>)</w:t>
            </w:r>
          </w:p>
        </w:tc>
        <w:tc>
          <w:tcPr>
            <w:tcW w:w="1412" w:type="dxa"/>
          </w:tcPr>
          <w:p w14:paraId="1935F839" w14:textId="5B52B914" w:rsidR="002E566C" w:rsidRDefault="00C84D78" w:rsidP="00A8411F">
            <w:pPr>
              <w:jc w:val="both"/>
            </w:pPr>
            <w:r>
              <w:t>8</w:t>
            </w:r>
            <w:r w:rsidR="002E566C">
              <w:t>%</w:t>
            </w:r>
          </w:p>
        </w:tc>
        <w:tc>
          <w:tcPr>
            <w:tcW w:w="1540" w:type="dxa"/>
            <w:tcBorders>
              <w:bottom w:val="single" w:sz="4" w:space="0" w:color="auto"/>
            </w:tcBorders>
          </w:tcPr>
          <w:p w14:paraId="46805309" w14:textId="1876E923" w:rsidR="002E566C" w:rsidRDefault="002E566C" w:rsidP="00C84D78">
            <w:pPr>
              <w:jc w:val="both"/>
            </w:pPr>
            <w:r>
              <w:t>1</w:t>
            </w:r>
            <w:r w:rsidR="00C84D78">
              <w:t>4</w:t>
            </w:r>
            <w:r>
              <w:t>%</w:t>
            </w:r>
          </w:p>
        </w:tc>
        <w:tc>
          <w:tcPr>
            <w:tcW w:w="1540" w:type="dxa"/>
            <w:tcBorders>
              <w:bottom w:val="single" w:sz="4" w:space="0" w:color="auto"/>
            </w:tcBorders>
            <w:shd w:val="clear" w:color="auto" w:fill="FFFFFF" w:themeFill="background1"/>
          </w:tcPr>
          <w:p w14:paraId="43FE602E" w14:textId="6D32FD42" w:rsidR="002E566C" w:rsidRDefault="00C84D78" w:rsidP="00AF34D0">
            <w:pPr>
              <w:tabs>
                <w:tab w:val="left" w:pos="1218"/>
              </w:tabs>
              <w:jc w:val="both"/>
            </w:pPr>
            <w:r>
              <w:t>14</w:t>
            </w:r>
            <w:r w:rsidR="002E566C">
              <w:t>%</w:t>
            </w:r>
            <w:r w:rsidR="00AF34D0">
              <w:tab/>
            </w:r>
          </w:p>
        </w:tc>
        <w:tc>
          <w:tcPr>
            <w:tcW w:w="1541" w:type="dxa"/>
          </w:tcPr>
          <w:p w14:paraId="10BC8B5F" w14:textId="4609FE3B" w:rsidR="002E566C" w:rsidRDefault="00C84D78" w:rsidP="00A8411F">
            <w:pPr>
              <w:jc w:val="both"/>
            </w:pPr>
            <w:r>
              <w:t>19%</w:t>
            </w:r>
          </w:p>
        </w:tc>
        <w:tc>
          <w:tcPr>
            <w:tcW w:w="1541" w:type="dxa"/>
            <w:tcBorders>
              <w:bottom w:val="single" w:sz="4" w:space="0" w:color="auto"/>
            </w:tcBorders>
            <w:shd w:val="clear" w:color="auto" w:fill="FFCC99"/>
          </w:tcPr>
          <w:p w14:paraId="2C3B7A01" w14:textId="6EFF7375" w:rsidR="002E566C" w:rsidRDefault="00C84D78" w:rsidP="00A8411F">
            <w:pPr>
              <w:jc w:val="both"/>
            </w:pPr>
            <w:r>
              <w:t>46%</w:t>
            </w:r>
          </w:p>
        </w:tc>
      </w:tr>
      <w:tr w:rsidR="002E566C" w14:paraId="6D6CEC8F" w14:textId="77777777" w:rsidTr="00AF34D0">
        <w:tc>
          <w:tcPr>
            <w:tcW w:w="1668" w:type="dxa"/>
          </w:tcPr>
          <w:p w14:paraId="03A14873" w14:textId="77777777" w:rsidR="002E566C" w:rsidRDefault="002E566C" w:rsidP="00A8411F">
            <w:pPr>
              <w:jc w:val="both"/>
            </w:pPr>
            <w:r>
              <w:t>Q14 (3.1.4)</w:t>
            </w:r>
          </w:p>
        </w:tc>
        <w:tc>
          <w:tcPr>
            <w:tcW w:w="1412" w:type="dxa"/>
          </w:tcPr>
          <w:p w14:paraId="5D651C59" w14:textId="05D127FF" w:rsidR="002E566C" w:rsidRDefault="00C84D78" w:rsidP="00A8411F">
            <w:pPr>
              <w:jc w:val="both"/>
            </w:pPr>
            <w:r>
              <w:t>8</w:t>
            </w:r>
            <w:r w:rsidR="002E566C">
              <w:t>%</w:t>
            </w:r>
          </w:p>
        </w:tc>
        <w:tc>
          <w:tcPr>
            <w:tcW w:w="1540" w:type="dxa"/>
            <w:shd w:val="clear" w:color="auto" w:fill="FFFF99"/>
          </w:tcPr>
          <w:p w14:paraId="0AFD6CFE" w14:textId="1C9A0A61" w:rsidR="002E566C" w:rsidRDefault="00C84D78" w:rsidP="00A8411F">
            <w:pPr>
              <w:jc w:val="both"/>
            </w:pPr>
            <w:r>
              <w:t>27</w:t>
            </w:r>
            <w:r w:rsidR="002E566C">
              <w:t>%</w:t>
            </w:r>
          </w:p>
        </w:tc>
        <w:tc>
          <w:tcPr>
            <w:tcW w:w="1540" w:type="dxa"/>
            <w:shd w:val="clear" w:color="auto" w:fill="FFFF99"/>
          </w:tcPr>
          <w:p w14:paraId="374AFAA8" w14:textId="2293CC4D" w:rsidR="002E566C" w:rsidRDefault="00C84D78" w:rsidP="00A8411F">
            <w:pPr>
              <w:jc w:val="both"/>
            </w:pPr>
            <w:r>
              <w:t>24</w:t>
            </w:r>
            <w:r w:rsidR="002E566C">
              <w:t>%</w:t>
            </w:r>
          </w:p>
        </w:tc>
        <w:tc>
          <w:tcPr>
            <w:tcW w:w="1541" w:type="dxa"/>
            <w:tcBorders>
              <w:bottom w:val="single" w:sz="4" w:space="0" w:color="auto"/>
            </w:tcBorders>
          </w:tcPr>
          <w:p w14:paraId="527EC337" w14:textId="07F9D067" w:rsidR="002E566C" w:rsidRDefault="00C84D78" w:rsidP="00A8411F">
            <w:pPr>
              <w:jc w:val="both"/>
            </w:pPr>
            <w:r>
              <w:t>19</w:t>
            </w:r>
            <w:r w:rsidR="002E566C">
              <w:t>%</w:t>
            </w:r>
          </w:p>
        </w:tc>
        <w:tc>
          <w:tcPr>
            <w:tcW w:w="1541" w:type="dxa"/>
            <w:tcBorders>
              <w:bottom w:val="single" w:sz="4" w:space="0" w:color="auto"/>
            </w:tcBorders>
            <w:shd w:val="clear" w:color="auto" w:fill="FFFF99"/>
          </w:tcPr>
          <w:p w14:paraId="6413FA0F" w14:textId="058C1152" w:rsidR="002E566C" w:rsidRDefault="00C84D78" w:rsidP="00A8411F">
            <w:pPr>
              <w:jc w:val="both"/>
            </w:pPr>
            <w:r>
              <w:t>22</w:t>
            </w:r>
            <w:r w:rsidR="002E566C">
              <w:t>%</w:t>
            </w:r>
          </w:p>
        </w:tc>
      </w:tr>
      <w:tr w:rsidR="002E566C" w14:paraId="3A84AF7B" w14:textId="77777777" w:rsidTr="00304E60">
        <w:tc>
          <w:tcPr>
            <w:tcW w:w="1668" w:type="dxa"/>
          </w:tcPr>
          <w:p w14:paraId="06BC255C" w14:textId="77777777" w:rsidR="002E566C" w:rsidRDefault="002E566C" w:rsidP="00A8411F">
            <w:pPr>
              <w:jc w:val="both"/>
            </w:pPr>
            <w:r>
              <w:t>Q15 (3.1.5)</w:t>
            </w:r>
          </w:p>
        </w:tc>
        <w:tc>
          <w:tcPr>
            <w:tcW w:w="1412" w:type="dxa"/>
          </w:tcPr>
          <w:p w14:paraId="7AF1F430" w14:textId="7653AF03" w:rsidR="002E566C" w:rsidRDefault="00C84D78" w:rsidP="00A8411F">
            <w:pPr>
              <w:jc w:val="both"/>
            </w:pPr>
            <w:r>
              <w:t>5</w:t>
            </w:r>
            <w:r w:rsidR="002E566C">
              <w:t>%</w:t>
            </w:r>
          </w:p>
        </w:tc>
        <w:tc>
          <w:tcPr>
            <w:tcW w:w="1540" w:type="dxa"/>
          </w:tcPr>
          <w:p w14:paraId="2F31D75D" w14:textId="090FB117" w:rsidR="002E566C" w:rsidRDefault="00C84D78" w:rsidP="00A8411F">
            <w:pPr>
              <w:jc w:val="both"/>
            </w:pPr>
            <w:r>
              <w:t>22%</w:t>
            </w:r>
          </w:p>
        </w:tc>
        <w:tc>
          <w:tcPr>
            <w:tcW w:w="1540" w:type="dxa"/>
            <w:shd w:val="clear" w:color="auto" w:fill="FFFF99"/>
          </w:tcPr>
          <w:p w14:paraId="261FE36D" w14:textId="0BA5006D" w:rsidR="002E566C" w:rsidRDefault="00C84D78" w:rsidP="00A8411F">
            <w:pPr>
              <w:jc w:val="both"/>
            </w:pPr>
            <w:r>
              <w:t>30%</w:t>
            </w:r>
          </w:p>
        </w:tc>
        <w:tc>
          <w:tcPr>
            <w:tcW w:w="1541" w:type="dxa"/>
            <w:shd w:val="clear" w:color="auto" w:fill="FFFFFF" w:themeFill="background1"/>
          </w:tcPr>
          <w:p w14:paraId="3064A1DE" w14:textId="456A8D52" w:rsidR="002E566C" w:rsidRDefault="00C84D78" w:rsidP="00A8411F">
            <w:pPr>
              <w:jc w:val="both"/>
            </w:pPr>
            <w:r>
              <w:t>14%</w:t>
            </w:r>
          </w:p>
        </w:tc>
        <w:tc>
          <w:tcPr>
            <w:tcW w:w="1541" w:type="dxa"/>
            <w:shd w:val="clear" w:color="auto" w:fill="FFFF99"/>
          </w:tcPr>
          <w:p w14:paraId="1FA29040" w14:textId="7991EECE" w:rsidR="002E566C" w:rsidRDefault="00C84D78" w:rsidP="00A8411F">
            <w:pPr>
              <w:jc w:val="both"/>
            </w:pPr>
            <w:r>
              <w:t>30%</w:t>
            </w:r>
          </w:p>
        </w:tc>
      </w:tr>
    </w:tbl>
    <w:p w14:paraId="1323EEA1" w14:textId="6AD07C2A" w:rsidR="002E566C" w:rsidRDefault="002E566C" w:rsidP="002E566C">
      <w:pPr>
        <w:jc w:val="both"/>
        <w:rPr>
          <w:i/>
          <w:sz w:val="18"/>
          <w:szCs w:val="18"/>
        </w:rPr>
      </w:pPr>
      <w:r w:rsidRPr="000A31D7">
        <w:rPr>
          <w:i/>
          <w:sz w:val="18"/>
          <w:szCs w:val="18"/>
        </w:rPr>
        <w:t xml:space="preserve">Figures are rounded to the nearest </w:t>
      </w:r>
      <w:r w:rsidR="00790D34" w:rsidRPr="000A31D7">
        <w:rPr>
          <w:i/>
          <w:sz w:val="18"/>
          <w:szCs w:val="18"/>
        </w:rPr>
        <w:t>percentage point</w:t>
      </w:r>
      <w:r w:rsidRPr="000A31D7">
        <w:rPr>
          <w:i/>
          <w:sz w:val="18"/>
          <w:szCs w:val="18"/>
        </w:rPr>
        <w:t xml:space="preserve"> and therefore may not sum to 100.</w:t>
      </w:r>
    </w:p>
    <w:p w14:paraId="2B56F489" w14:textId="71DB62F8" w:rsidR="00DC0B25" w:rsidRPr="00666AE5" w:rsidRDefault="00DC0B25" w:rsidP="00666AE5">
      <w:pPr>
        <w:ind w:left="993" w:hanging="633"/>
        <w:jc w:val="both"/>
        <w:rPr>
          <w:rStyle w:val="SubtleEmphasis"/>
        </w:rPr>
      </w:pPr>
      <w:r w:rsidRPr="00666AE5">
        <w:rPr>
          <w:rStyle w:val="SubtleEmphasis"/>
        </w:rPr>
        <w:t>3.1.1:</w:t>
      </w:r>
      <w:r w:rsidRPr="00666AE5">
        <w:rPr>
          <w:rStyle w:val="SubtleEmphasis"/>
        </w:rPr>
        <w:tab/>
        <w:t>All staff, including post-docs, are regularly appraised.</w:t>
      </w:r>
      <w:r w:rsidR="004A6571">
        <w:rPr>
          <w:rStyle w:val="SubtleEmphasis"/>
        </w:rPr>
        <w:t xml:space="preserve"> </w:t>
      </w:r>
      <w:r w:rsidR="004A6571" w:rsidRPr="004A6571">
        <w:rPr>
          <w:rStyle w:val="SubtleEmphasis"/>
          <w:b/>
        </w:rPr>
        <w:t>(This is worse)</w:t>
      </w:r>
    </w:p>
    <w:p w14:paraId="3E8C65C0" w14:textId="6769A7AE" w:rsidR="00DC0B25" w:rsidRPr="00666AE5" w:rsidRDefault="00DC0B25" w:rsidP="00666AE5">
      <w:pPr>
        <w:ind w:left="993" w:hanging="633"/>
        <w:jc w:val="both"/>
        <w:rPr>
          <w:rStyle w:val="SubtleEmphasis"/>
        </w:rPr>
      </w:pPr>
      <w:r w:rsidRPr="00666AE5">
        <w:rPr>
          <w:rStyle w:val="SubtleEmphasis"/>
        </w:rPr>
        <w:t>3.1.2:</w:t>
      </w:r>
      <w:r w:rsidRPr="00666AE5">
        <w:rPr>
          <w:rStyle w:val="SubtleEmphasis"/>
        </w:rPr>
        <w:tab/>
        <w:t>Staff are clear about what happens to appraisal documents and what follow-up action should be taken, where necessary.</w:t>
      </w:r>
      <w:r w:rsidR="004A6571">
        <w:rPr>
          <w:rStyle w:val="SubtleEmphasis"/>
        </w:rPr>
        <w:t xml:space="preserve"> </w:t>
      </w:r>
      <w:r w:rsidR="004A6571" w:rsidRPr="004A6571">
        <w:rPr>
          <w:rStyle w:val="SubtleEmphasis"/>
          <w:b/>
        </w:rPr>
        <w:t>(This is worse)</w:t>
      </w:r>
    </w:p>
    <w:p w14:paraId="5B52B63F" w14:textId="360DB01E" w:rsidR="004A6571" w:rsidRDefault="00DC0B25" w:rsidP="00666AE5">
      <w:pPr>
        <w:ind w:left="993" w:hanging="633"/>
        <w:jc w:val="both"/>
        <w:rPr>
          <w:rStyle w:val="SubtleEmphasis"/>
        </w:rPr>
      </w:pPr>
      <w:r w:rsidRPr="00666AE5">
        <w:rPr>
          <w:rStyle w:val="SubtleEmphasis"/>
        </w:rPr>
        <w:t>3.1.3</w:t>
      </w:r>
      <w:r w:rsidR="004A6571">
        <w:rPr>
          <w:rStyle w:val="SubtleEmphasis"/>
        </w:rPr>
        <w:t>a</w:t>
      </w:r>
      <w:r w:rsidRPr="00666AE5">
        <w:rPr>
          <w:rStyle w:val="SubtleEmphasis"/>
        </w:rPr>
        <w:t>:</w:t>
      </w:r>
      <w:r w:rsidRPr="00666AE5">
        <w:rPr>
          <w:rStyle w:val="SubtleEmphasis"/>
        </w:rPr>
        <w:tab/>
        <w:t>The department has a career development/mentoring scheme in place</w:t>
      </w:r>
      <w:r w:rsidR="00C84D78">
        <w:rPr>
          <w:rStyle w:val="SubtleEmphasis"/>
        </w:rPr>
        <w:t>.</w:t>
      </w:r>
    </w:p>
    <w:p w14:paraId="05F5369A" w14:textId="1BA22F30" w:rsidR="00DC0B25" w:rsidRPr="00666AE5" w:rsidRDefault="004A6571" w:rsidP="00666AE5">
      <w:pPr>
        <w:ind w:left="993" w:hanging="633"/>
        <w:jc w:val="both"/>
        <w:rPr>
          <w:rStyle w:val="SubtleEmphasis"/>
        </w:rPr>
      </w:pPr>
      <w:r>
        <w:rPr>
          <w:rStyle w:val="SubtleEmphasis"/>
        </w:rPr>
        <w:t>3.1.3b:</w:t>
      </w:r>
      <w:r>
        <w:rPr>
          <w:rStyle w:val="SubtleEmphasis"/>
        </w:rPr>
        <w:tab/>
      </w:r>
      <w:r w:rsidR="009417AF">
        <w:rPr>
          <w:rStyle w:val="SubtleEmphasis"/>
        </w:rPr>
        <w:t xml:space="preserve"> T</w:t>
      </w:r>
      <w:r w:rsidR="00DC0B25" w:rsidRPr="00666AE5">
        <w:rPr>
          <w:rStyle w:val="SubtleEmphasis"/>
        </w:rPr>
        <w:t>he department encourages all staff (i</w:t>
      </w:r>
      <w:r w:rsidR="007413A7">
        <w:rPr>
          <w:rStyle w:val="SubtleEmphasis"/>
        </w:rPr>
        <w:t>.</w:t>
      </w:r>
      <w:r w:rsidR="00DC0B25" w:rsidRPr="00666AE5">
        <w:rPr>
          <w:rStyle w:val="SubtleEmphasis"/>
        </w:rPr>
        <w:t>e</w:t>
      </w:r>
      <w:r w:rsidR="007413A7">
        <w:rPr>
          <w:rStyle w:val="SubtleEmphasis"/>
        </w:rPr>
        <w:t>.</w:t>
      </w:r>
      <w:r w:rsidR="00DC0B25" w:rsidRPr="00666AE5">
        <w:rPr>
          <w:rStyle w:val="SubtleEmphasis"/>
        </w:rPr>
        <w:t xml:space="preserve"> trains them and provides them with guidance) to become mentors or mentees. </w:t>
      </w:r>
    </w:p>
    <w:p w14:paraId="30675F02" w14:textId="1714400F" w:rsidR="00DC0B25" w:rsidRPr="00666AE5" w:rsidRDefault="00DC0B25" w:rsidP="00666AE5">
      <w:pPr>
        <w:ind w:left="993" w:hanging="633"/>
        <w:jc w:val="both"/>
        <w:rPr>
          <w:rStyle w:val="SubtleEmphasis"/>
        </w:rPr>
      </w:pPr>
      <w:r w:rsidRPr="00666AE5">
        <w:rPr>
          <w:rStyle w:val="SubtleEmphasis"/>
        </w:rPr>
        <w:t>3.1.4:</w:t>
      </w:r>
      <w:r w:rsidRPr="00666AE5">
        <w:rPr>
          <w:rStyle w:val="SubtleEmphasis"/>
        </w:rPr>
        <w:tab/>
      </w:r>
      <w:r w:rsidR="00666AE5" w:rsidRPr="00666AE5">
        <w:rPr>
          <w:rStyle w:val="SubtleEmphasis"/>
        </w:rPr>
        <w:t>Staff understand their responsibilities towards providing career development and career advice for research staff, including post-docs.</w:t>
      </w:r>
    </w:p>
    <w:p w14:paraId="331A67FE" w14:textId="079C84B8" w:rsidR="00666AE5" w:rsidRPr="00666AE5" w:rsidRDefault="00666AE5" w:rsidP="00666AE5">
      <w:pPr>
        <w:ind w:left="993" w:hanging="633"/>
        <w:jc w:val="both"/>
        <w:rPr>
          <w:rStyle w:val="SubtleEmphasis"/>
        </w:rPr>
      </w:pPr>
      <w:r w:rsidRPr="00666AE5">
        <w:rPr>
          <w:rStyle w:val="SubtleEmphasis"/>
        </w:rPr>
        <w:t>3.1.5:</w:t>
      </w:r>
      <w:r w:rsidRPr="00666AE5">
        <w:rPr>
          <w:rStyle w:val="SubtleEmphasis"/>
        </w:rPr>
        <w:tab/>
      </w:r>
      <w:r w:rsidR="00C84D78" w:rsidRPr="00C84D78">
        <w:rPr>
          <w:rStyle w:val="SubtleEmphasis"/>
        </w:rPr>
        <w:t>The department encourages all staff to access career advice and monitors the suitability for all staff (from post-docs to professors) of the career development training, advice and appraisal.</w:t>
      </w:r>
    </w:p>
    <w:p w14:paraId="64865966" w14:textId="77777777" w:rsidR="002E566C" w:rsidRPr="00DA5EFA" w:rsidRDefault="002E566C" w:rsidP="00FC43AD">
      <w:pPr>
        <w:pStyle w:val="Heading3"/>
      </w:pPr>
      <w:bookmarkStart w:id="10" w:name="_Toc329540728"/>
      <w:r w:rsidRPr="00D9039D">
        <w:rPr>
          <w:b/>
        </w:rPr>
        <w:t>3.2</w:t>
      </w:r>
      <w:r w:rsidRPr="00F1592F">
        <w:t xml:space="preserve"> Transparent promotions processes and procedures</w:t>
      </w:r>
      <w:bookmarkEnd w:id="10"/>
    </w:p>
    <w:p w14:paraId="1780B427" w14:textId="18F67F17" w:rsidR="00F52F8A" w:rsidRDefault="00790D34" w:rsidP="00C517ED">
      <w:pPr>
        <w:jc w:val="both"/>
      </w:pPr>
      <w:r>
        <w:t>Responses</w:t>
      </w:r>
      <w:r w:rsidR="002E566C">
        <w:t xml:space="preserve"> in this section </w:t>
      </w:r>
      <w:r w:rsidR="00F52F8A">
        <w:t>tended to be middling (B-C) to low (C-E)</w:t>
      </w:r>
      <w:r w:rsidR="002E566C">
        <w:t xml:space="preserve">. </w:t>
      </w:r>
      <w:r w:rsidR="001746BE">
        <w:t>Comments stat</w:t>
      </w:r>
      <w:r w:rsidR="00F52F8A">
        <w:t xml:space="preserve">ed that promotion processes tended to be done outside the Department, relying on University-wide processes or done at a Faculty level. Respondents indicated that these wider processes </w:t>
      </w:r>
      <w:r w:rsidR="001746BE">
        <w:t xml:space="preserve">often had little transparency, particularly around whether the staffing committee had bias training. </w:t>
      </w:r>
      <w:r w:rsidR="001746BE">
        <w:lastRenderedPageBreak/>
        <w:t>Comments also suggested that</w:t>
      </w:r>
      <w:r w:rsidR="007461BD">
        <w:t xml:space="preserve"> the Department’s reliance on University of </w:t>
      </w:r>
      <w:r w:rsidR="001746BE">
        <w:t>A</w:t>
      </w:r>
      <w:r w:rsidR="007461BD">
        <w:t>uckland</w:t>
      </w:r>
      <w:r w:rsidR="001746BE">
        <w:t xml:space="preserve"> processes is concerning, as the University as a whole was not seen as particularly inspirational with regards to gender equity processes. </w:t>
      </w:r>
      <w:r w:rsidR="00B014D0">
        <w:t>R</w:t>
      </w:r>
      <w:r w:rsidR="001746BE">
        <w:t>espondents indicated that there was significant work to be done t</w:t>
      </w:r>
      <w:r w:rsidR="00B014D0">
        <w:t>o ensure these processes were transparent, while one participant also indicated that when these processes are clear, they often did not take underlying and systemic biases into account.</w:t>
      </w:r>
    </w:p>
    <w:p w14:paraId="28135B2D" w14:textId="26083DC4" w:rsidR="00C046A3" w:rsidRDefault="00C046A3" w:rsidP="00B014D0">
      <w:pPr>
        <w:ind w:firstLine="0"/>
        <w:jc w:val="both"/>
      </w:pPr>
    </w:p>
    <w:p w14:paraId="26D23049" w14:textId="77777777" w:rsidR="002E566C" w:rsidRPr="00FC43AD" w:rsidRDefault="002E566C" w:rsidP="002E566C">
      <w:pPr>
        <w:jc w:val="both"/>
        <w:rPr>
          <w:rStyle w:val="Emphasis"/>
        </w:rPr>
      </w:pPr>
      <w:r w:rsidRPr="00FC43AD">
        <w:rPr>
          <w:rStyle w:val="Emphasis"/>
        </w:rPr>
        <w:t>Quantitative summary:</w:t>
      </w:r>
    </w:p>
    <w:tbl>
      <w:tblPr>
        <w:tblStyle w:val="TableGrid"/>
        <w:tblW w:w="0" w:type="auto"/>
        <w:tblLook w:val="04A0" w:firstRow="1" w:lastRow="0" w:firstColumn="1" w:lastColumn="0" w:noHBand="0" w:noVBand="1"/>
      </w:tblPr>
      <w:tblGrid>
        <w:gridCol w:w="1618"/>
        <w:gridCol w:w="1384"/>
        <w:gridCol w:w="1503"/>
        <w:gridCol w:w="1503"/>
        <w:gridCol w:w="1504"/>
        <w:gridCol w:w="1504"/>
      </w:tblGrid>
      <w:tr w:rsidR="002E566C" w14:paraId="0056A44C" w14:textId="77777777" w:rsidTr="00AF34D0">
        <w:tc>
          <w:tcPr>
            <w:tcW w:w="1668" w:type="dxa"/>
          </w:tcPr>
          <w:p w14:paraId="68932F31" w14:textId="77777777" w:rsidR="002E566C" w:rsidRDefault="002E566C" w:rsidP="00A8411F">
            <w:pPr>
              <w:jc w:val="both"/>
            </w:pPr>
          </w:p>
        </w:tc>
        <w:tc>
          <w:tcPr>
            <w:tcW w:w="1412" w:type="dxa"/>
          </w:tcPr>
          <w:p w14:paraId="7186605C" w14:textId="77777777" w:rsidR="002E566C" w:rsidRDefault="002E566C" w:rsidP="00A8411F">
            <w:pPr>
              <w:jc w:val="both"/>
            </w:pPr>
            <w:r>
              <w:t>A</w:t>
            </w:r>
          </w:p>
        </w:tc>
        <w:tc>
          <w:tcPr>
            <w:tcW w:w="1540" w:type="dxa"/>
          </w:tcPr>
          <w:p w14:paraId="4B2BA966" w14:textId="77777777" w:rsidR="002E566C" w:rsidRDefault="002E566C" w:rsidP="00A8411F">
            <w:pPr>
              <w:jc w:val="both"/>
            </w:pPr>
            <w:r>
              <w:t>B</w:t>
            </w:r>
          </w:p>
        </w:tc>
        <w:tc>
          <w:tcPr>
            <w:tcW w:w="1540" w:type="dxa"/>
            <w:tcBorders>
              <w:bottom w:val="single" w:sz="4" w:space="0" w:color="auto"/>
            </w:tcBorders>
          </w:tcPr>
          <w:p w14:paraId="650E912F" w14:textId="77777777" w:rsidR="002E566C" w:rsidRDefault="002E566C" w:rsidP="00A8411F">
            <w:pPr>
              <w:jc w:val="both"/>
            </w:pPr>
            <w:r>
              <w:t>C</w:t>
            </w:r>
          </w:p>
        </w:tc>
        <w:tc>
          <w:tcPr>
            <w:tcW w:w="1541" w:type="dxa"/>
            <w:tcBorders>
              <w:bottom w:val="single" w:sz="4" w:space="0" w:color="auto"/>
            </w:tcBorders>
          </w:tcPr>
          <w:p w14:paraId="7AE49DD3" w14:textId="77777777" w:rsidR="002E566C" w:rsidRDefault="002E566C" w:rsidP="00A8411F">
            <w:pPr>
              <w:jc w:val="both"/>
            </w:pPr>
            <w:r>
              <w:t>D</w:t>
            </w:r>
          </w:p>
        </w:tc>
        <w:tc>
          <w:tcPr>
            <w:tcW w:w="1541" w:type="dxa"/>
          </w:tcPr>
          <w:p w14:paraId="2F879B1E" w14:textId="77777777" w:rsidR="002E566C" w:rsidRDefault="002E566C" w:rsidP="00A8411F">
            <w:pPr>
              <w:jc w:val="both"/>
            </w:pPr>
            <w:r>
              <w:t>E</w:t>
            </w:r>
          </w:p>
        </w:tc>
      </w:tr>
      <w:tr w:rsidR="002E566C" w14:paraId="7C78396B" w14:textId="77777777" w:rsidTr="00304E60">
        <w:tc>
          <w:tcPr>
            <w:tcW w:w="1668" w:type="dxa"/>
          </w:tcPr>
          <w:p w14:paraId="16E99549" w14:textId="44350A62" w:rsidR="002E566C" w:rsidRDefault="002E566C" w:rsidP="00A8411F">
            <w:pPr>
              <w:jc w:val="both"/>
            </w:pPr>
            <w:r>
              <w:t>Q16 (3.2.1</w:t>
            </w:r>
            <w:r w:rsidR="00C84D78">
              <w:t>a</w:t>
            </w:r>
            <w:r>
              <w:t>)</w:t>
            </w:r>
          </w:p>
        </w:tc>
        <w:tc>
          <w:tcPr>
            <w:tcW w:w="1412" w:type="dxa"/>
          </w:tcPr>
          <w:p w14:paraId="1A10C24D" w14:textId="762E2604" w:rsidR="002E566C" w:rsidRDefault="00C84D78" w:rsidP="00A8411F">
            <w:pPr>
              <w:jc w:val="both"/>
            </w:pPr>
            <w:r>
              <w:t>14</w:t>
            </w:r>
            <w:r w:rsidR="002E566C">
              <w:t>%</w:t>
            </w:r>
          </w:p>
        </w:tc>
        <w:tc>
          <w:tcPr>
            <w:tcW w:w="1540" w:type="dxa"/>
            <w:shd w:val="clear" w:color="auto" w:fill="FFFF99"/>
          </w:tcPr>
          <w:p w14:paraId="0FFACF56" w14:textId="0F7EC508" w:rsidR="002E566C" w:rsidRDefault="00C84D78" w:rsidP="00A8411F">
            <w:pPr>
              <w:jc w:val="both"/>
            </w:pPr>
            <w:r>
              <w:t>24%</w:t>
            </w:r>
          </w:p>
        </w:tc>
        <w:tc>
          <w:tcPr>
            <w:tcW w:w="1540" w:type="dxa"/>
            <w:shd w:val="clear" w:color="auto" w:fill="FFFF99"/>
          </w:tcPr>
          <w:p w14:paraId="23F0C73B" w14:textId="159368AA" w:rsidR="002E566C" w:rsidRDefault="00C84D78" w:rsidP="00A8411F">
            <w:pPr>
              <w:jc w:val="both"/>
            </w:pPr>
            <w:r>
              <w:t>38%</w:t>
            </w:r>
          </w:p>
        </w:tc>
        <w:tc>
          <w:tcPr>
            <w:tcW w:w="1541" w:type="dxa"/>
            <w:tcBorders>
              <w:bottom w:val="single" w:sz="4" w:space="0" w:color="auto"/>
            </w:tcBorders>
            <w:shd w:val="clear" w:color="auto" w:fill="FFFFFF" w:themeFill="background1"/>
          </w:tcPr>
          <w:p w14:paraId="6717D5D0" w14:textId="7F83ED26" w:rsidR="002E566C" w:rsidRDefault="00C84D78" w:rsidP="00A8411F">
            <w:pPr>
              <w:jc w:val="both"/>
            </w:pPr>
            <w:r>
              <w:t>16%</w:t>
            </w:r>
          </w:p>
        </w:tc>
        <w:tc>
          <w:tcPr>
            <w:tcW w:w="1541" w:type="dxa"/>
            <w:tcBorders>
              <w:bottom w:val="single" w:sz="4" w:space="0" w:color="auto"/>
            </w:tcBorders>
          </w:tcPr>
          <w:p w14:paraId="18728580" w14:textId="271FF7C4" w:rsidR="002E566C" w:rsidRDefault="00C84D78" w:rsidP="00A8411F">
            <w:pPr>
              <w:jc w:val="both"/>
            </w:pPr>
            <w:r>
              <w:t>8%</w:t>
            </w:r>
          </w:p>
        </w:tc>
      </w:tr>
      <w:tr w:rsidR="00C84D78" w14:paraId="022ED045" w14:textId="77777777" w:rsidTr="00304E60">
        <w:tc>
          <w:tcPr>
            <w:tcW w:w="1668" w:type="dxa"/>
          </w:tcPr>
          <w:p w14:paraId="673CFD81" w14:textId="65994691" w:rsidR="00C84D78" w:rsidRDefault="00C84D78" w:rsidP="00A8411F">
            <w:pPr>
              <w:jc w:val="both"/>
            </w:pPr>
            <w:r w:rsidRPr="00C84D78">
              <w:rPr>
                <w:lang w:val="en-AU"/>
              </w:rPr>
              <w:t>Q16 (3.2.1</w:t>
            </w:r>
            <w:r>
              <w:rPr>
                <w:lang w:val="en-AU"/>
              </w:rPr>
              <w:t>b</w:t>
            </w:r>
            <w:r w:rsidRPr="00C84D78">
              <w:rPr>
                <w:lang w:val="en-AU"/>
              </w:rPr>
              <w:t>)</w:t>
            </w:r>
          </w:p>
        </w:tc>
        <w:tc>
          <w:tcPr>
            <w:tcW w:w="1412" w:type="dxa"/>
          </w:tcPr>
          <w:p w14:paraId="29D629B0" w14:textId="41DC260C" w:rsidR="00C84D78" w:rsidRDefault="00C84D78" w:rsidP="00A8411F">
            <w:pPr>
              <w:jc w:val="both"/>
            </w:pPr>
            <w:r>
              <w:t>5%</w:t>
            </w:r>
          </w:p>
        </w:tc>
        <w:tc>
          <w:tcPr>
            <w:tcW w:w="1540" w:type="dxa"/>
          </w:tcPr>
          <w:p w14:paraId="180A0707" w14:textId="35AC6909" w:rsidR="00C84D78" w:rsidRDefault="00C84D78" w:rsidP="00A8411F">
            <w:pPr>
              <w:jc w:val="both"/>
            </w:pPr>
            <w:r>
              <w:t>16%</w:t>
            </w:r>
          </w:p>
        </w:tc>
        <w:tc>
          <w:tcPr>
            <w:tcW w:w="1540" w:type="dxa"/>
            <w:shd w:val="clear" w:color="auto" w:fill="FFFF99"/>
          </w:tcPr>
          <w:p w14:paraId="53BC52F6" w14:textId="32464D78" w:rsidR="00C84D78" w:rsidRDefault="00C84D78" w:rsidP="00A8411F">
            <w:pPr>
              <w:jc w:val="both"/>
            </w:pPr>
            <w:r>
              <w:t>38%</w:t>
            </w:r>
          </w:p>
        </w:tc>
        <w:tc>
          <w:tcPr>
            <w:tcW w:w="1541" w:type="dxa"/>
            <w:tcBorders>
              <w:bottom w:val="single" w:sz="4" w:space="0" w:color="auto"/>
            </w:tcBorders>
            <w:shd w:val="clear" w:color="auto" w:fill="FFFFFF" w:themeFill="background1"/>
          </w:tcPr>
          <w:p w14:paraId="7AC782C7" w14:textId="4E16CE35" w:rsidR="00C84D78" w:rsidRDefault="00C84D78" w:rsidP="00A8411F">
            <w:pPr>
              <w:jc w:val="both"/>
            </w:pPr>
            <w:r>
              <w:t>14%</w:t>
            </w:r>
          </w:p>
        </w:tc>
        <w:tc>
          <w:tcPr>
            <w:tcW w:w="1541" w:type="dxa"/>
            <w:tcBorders>
              <w:bottom w:val="single" w:sz="4" w:space="0" w:color="auto"/>
            </w:tcBorders>
            <w:shd w:val="clear" w:color="auto" w:fill="FFFF99"/>
          </w:tcPr>
          <w:p w14:paraId="52F0FD36" w14:textId="5BF1AA62" w:rsidR="00C84D78" w:rsidRDefault="00C84D78" w:rsidP="00A8411F">
            <w:pPr>
              <w:jc w:val="both"/>
            </w:pPr>
            <w:r>
              <w:t>27%</w:t>
            </w:r>
          </w:p>
        </w:tc>
      </w:tr>
      <w:tr w:rsidR="002E566C" w14:paraId="65CB994C" w14:textId="77777777" w:rsidTr="00304E60">
        <w:tc>
          <w:tcPr>
            <w:tcW w:w="1668" w:type="dxa"/>
          </w:tcPr>
          <w:p w14:paraId="2B3FA75F" w14:textId="77777777" w:rsidR="002E566C" w:rsidRDefault="002E566C" w:rsidP="00A8411F">
            <w:pPr>
              <w:jc w:val="both"/>
            </w:pPr>
            <w:r>
              <w:t>Q17 (3.2.2)</w:t>
            </w:r>
          </w:p>
        </w:tc>
        <w:tc>
          <w:tcPr>
            <w:tcW w:w="1412" w:type="dxa"/>
          </w:tcPr>
          <w:p w14:paraId="4404B7C3" w14:textId="7D7E0B28" w:rsidR="002E566C" w:rsidRDefault="00C84D78" w:rsidP="00A8411F">
            <w:pPr>
              <w:jc w:val="both"/>
            </w:pPr>
            <w:r>
              <w:t>5</w:t>
            </w:r>
            <w:r w:rsidR="002E566C">
              <w:t>%</w:t>
            </w:r>
          </w:p>
        </w:tc>
        <w:tc>
          <w:tcPr>
            <w:tcW w:w="1540" w:type="dxa"/>
            <w:tcBorders>
              <w:bottom w:val="single" w:sz="4" w:space="0" w:color="auto"/>
            </w:tcBorders>
            <w:shd w:val="clear" w:color="auto" w:fill="FFFF99"/>
          </w:tcPr>
          <w:p w14:paraId="040A7BED" w14:textId="163420A0" w:rsidR="002E566C" w:rsidRDefault="00C84D78" w:rsidP="00A8411F">
            <w:pPr>
              <w:jc w:val="both"/>
            </w:pPr>
            <w:r>
              <w:t>30%</w:t>
            </w:r>
          </w:p>
        </w:tc>
        <w:tc>
          <w:tcPr>
            <w:tcW w:w="1540" w:type="dxa"/>
            <w:tcBorders>
              <w:bottom w:val="single" w:sz="4" w:space="0" w:color="auto"/>
            </w:tcBorders>
            <w:shd w:val="clear" w:color="auto" w:fill="FFFF99"/>
          </w:tcPr>
          <w:p w14:paraId="2140DC89" w14:textId="5744A373" w:rsidR="002E566C" w:rsidRDefault="00C84D78" w:rsidP="00A8411F">
            <w:pPr>
              <w:jc w:val="both"/>
            </w:pPr>
            <w:r>
              <w:t>32%</w:t>
            </w:r>
          </w:p>
        </w:tc>
        <w:tc>
          <w:tcPr>
            <w:tcW w:w="1541" w:type="dxa"/>
            <w:tcBorders>
              <w:bottom w:val="single" w:sz="4" w:space="0" w:color="auto"/>
            </w:tcBorders>
            <w:shd w:val="clear" w:color="auto" w:fill="FFFFFF" w:themeFill="background1"/>
          </w:tcPr>
          <w:p w14:paraId="50593867" w14:textId="2C4CC73D" w:rsidR="002E566C" w:rsidRDefault="00C84D78" w:rsidP="00A8411F">
            <w:pPr>
              <w:jc w:val="both"/>
            </w:pPr>
            <w:r>
              <w:t>19%</w:t>
            </w:r>
          </w:p>
        </w:tc>
        <w:tc>
          <w:tcPr>
            <w:tcW w:w="1541" w:type="dxa"/>
            <w:shd w:val="clear" w:color="auto" w:fill="FFFFFF" w:themeFill="background1"/>
          </w:tcPr>
          <w:p w14:paraId="09D5AFF2" w14:textId="3D2555D0" w:rsidR="002E566C" w:rsidRDefault="00C84D78" w:rsidP="00A8411F">
            <w:pPr>
              <w:jc w:val="both"/>
            </w:pPr>
            <w:r>
              <w:t>14%</w:t>
            </w:r>
          </w:p>
        </w:tc>
      </w:tr>
      <w:tr w:rsidR="002E566C" w14:paraId="15D31F83" w14:textId="77777777" w:rsidTr="00304E60">
        <w:tc>
          <w:tcPr>
            <w:tcW w:w="1668" w:type="dxa"/>
          </w:tcPr>
          <w:p w14:paraId="4EC4F643" w14:textId="77777777" w:rsidR="002E566C" w:rsidRDefault="002E566C" w:rsidP="00A8411F">
            <w:pPr>
              <w:jc w:val="both"/>
            </w:pPr>
            <w:r>
              <w:t>Q18 (3.2.3)</w:t>
            </w:r>
          </w:p>
        </w:tc>
        <w:tc>
          <w:tcPr>
            <w:tcW w:w="1412" w:type="dxa"/>
          </w:tcPr>
          <w:p w14:paraId="752859A1" w14:textId="01AEFAA9" w:rsidR="002E566C" w:rsidRDefault="00C84D78" w:rsidP="00A8411F">
            <w:pPr>
              <w:jc w:val="both"/>
            </w:pPr>
            <w:r>
              <w:t>11</w:t>
            </w:r>
            <w:r w:rsidR="002E566C">
              <w:t>%</w:t>
            </w:r>
          </w:p>
        </w:tc>
        <w:tc>
          <w:tcPr>
            <w:tcW w:w="1540" w:type="dxa"/>
            <w:shd w:val="clear" w:color="auto" w:fill="FFFFFF" w:themeFill="background1"/>
          </w:tcPr>
          <w:p w14:paraId="280367E8" w14:textId="7111DD17" w:rsidR="002E566C" w:rsidRDefault="00C84D78" w:rsidP="00A8411F">
            <w:pPr>
              <w:jc w:val="both"/>
            </w:pPr>
            <w:r>
              <w:t>16%</w:t>
            </w:r>
          </w:p>
        </w:tc>
        <w:tc>
          <w:tcPr>
            <w:tcW w:w="1540" w:type="dxa"/>
            <w:tcBorders>
              <w:bottom w:val="single" w:sz="4" w:space="0" w:color="auto"/>
            </w:tcBorders>
            <w:shd w:val="clear" w:color="auto" w:fill="FFFF99"/>
          </w:tcPr>
          <w:p w14:paraId="25B5F0D8" w14:textId="261DA4D4" w:rsidR="002E566C" w:rsidRDefault="00C84D78" w:rsidP="00A8411F">
            <w:pPr>
              <w:jc w:val="both"/>
            </w:pPr>
            <w:r>
              <w:t>38%</w:t>
            </w:r>
          </w:p>
        </w:tc>
        <w:tc>
          <w:tcPr>
            <w:tcW w:w="1541" w:type="dxa"/>
            <w:shd w:val="clear" w:color="auto" w:fill="FFFF99"/>
          </w:tcPr>
          <w:p w14:paraId="4FE565D6" w14:textId="5392C5D7" w:rsidR="002E566C" w:rsidRDefault="00C84D78" w:rsidP="00A8411F">
            <w:pPr>
              <w:jc w:val="both"/>
            </w:pPr>
            <w:r>
              <w:t>24%</w:t>
            </w:r>
          </w:p>
        </w:tc>
        <w:tc>
          <w:tcPr>
            <w:tcW w:w="1541" w:type="dxa"/>
            <w:tcBorders>
              <w:bottom w:val="single" w:sz="4" w:space="0" w:color="auto"/>
            </w:tcBorders>
          </w:tcPr>
          <w:p w14:paraId="2E8094A4" w14:textId="5E1F35FE" w:rsidR="002E566C" w:rsidRDefault="00C84D78" w:rsidP="00A8411F">
            <w:pPr>
              <w:jc w:val="both"/>
            </w:pPr>
            <w:r>
              <w:t>11%</w:t>
            </w:r>
          </w:p>
        </w:tc>
      </w:tr>
      <w:tr w:rsidR="002E566C" w14:paraId="1560CF90" w14:textId="77777777" w:rsidTr="00304E60">
        <w:tc>
          <w:tcPr>
            <w:tcW w:w="1668" w:type="dxa"/>
          </w:tcPr>
          <w:p w14:paraId="5F6CA673" w14:textId="77777777" w:rsidR="002E566C" w:rsidRDefault="002E566C" w:rsidP="00A8411F">
            <w:pPr>
              <w:jc w:val="both"/>
            </w:pPr>
            <w:r>
              <w:t>Q19 (3.2.4)</w:t>
            </w:r>
          </w:p>
        </w:tc>
        <w:tc>
          <w:tcPr>
            <w:tcW w:w="1412" w:type="dxa"/>
          </w:tcPr>
          <w:p w14:paraId="663A7D04" w14:textId="01C842E8" w:rsidR="002E566C" w:rsidRDefault="00C84D78" w:rsidP="00A8411F">
            <w:pPr>
              <w:jc w:val="both"/>
            </w:pPr>
            <w:r>
              <w:t>5</w:t>
            </w:r>
            <w:r w:rsidR="002E566C">
              <w:t>%</w:t>
            </w:r>
          </w:p>
        </w:tc>
        <w:tc>
          <w:tcPr>
            <w:tcW w:w="1540" w:type="dxa"/>
          </w:tcPr>
          <w:p w14:paraId="6CDAEA3A" w14:textId="64F6225F" w:rsidR="002E566C" w:rsidRDefault="00C84D78" w:rsidP="00A8411F">
            <w:pPr>
              <w:jc w:val="both"/>
            </w:pPr>
            <w:r>
              <w:t>19%</w:t>
            </w:r>
          </w:p>
        </w:tc>
        <w:tc>
          <w:tcPr>
            <w:tcW w:w="1540" w:type="dxa"/>
            <w:shd w:val="clear" w:color="auto" w:fill="FFFF99"/>
          </w:tcPr>
          <w:p w14:paraId="2558A2DE" w14:textId="2C5ACB98" w:rsidR="002E566C" w:rsidRDefault="00C84D78" w:rsidP="00A8411F">
            <w:pPr>
              <w:jc w:val="both"/>
            </w:pPr>
            <w:r>
              <w:t>38%</w:t>
            </w:r>
          </w:p>
        </w:tc>
        <w:tc>
          <w:tcPr>
            <w:tcW w:w="1541" w:type="dxa"/>
            <w:shd w:val="clear" w:color="auto" w:fill="FFFF99"/>
          </w:tcPr>
          <w:p w14:paraId="546CD26C" w14:textId="562A4CD6" w:rsidR="002E566C" w:rsidRDefault="00C84D78" w:rsidP="00A8411F">
            <w:pPr>
              <w:jc w:val="both"/>
            </w:pPr>
            <w:r>
              <w:t>22%</w:t>
            </w:r>
          </w:p>
        </w:tc>
        <w:tc>
          <w:tcPr>
            <w:tcW w:w="1541" w:type="dxa"/>
            <w:shd w:val="clear" w:color="auto" w:fill="FFFFFF" w:themeFill="background1"/>
          </w:tcPr>
          <w:p w14:paraId="6DD166C7" w14:textId="3E10F2C0" w:rsidR="002E566C" w:rsidRDefault="00C84D78" w:rsidP="00A8411F">
            <w:pPr>
              <w:jc w:val="both"/>
            </w:pPr>
            <w:r>
              <w:t>16%</w:t>
            </w:r>
          </w:p>
        </w:tc>
      </w:tr>
    </w:tbl>
    <w:p w14:paraId="72097225" w14:textId="5B383571" w:rsidR="002E566C" w:rsidRDefault="002E566C" w:rsidP="002E566C">
      <w:pPr>
        <w:jc w:val="both"/>
        <w:rPr>
          <w:i/>
          <w:sz w:val="18"/>
          <w:szCs w:val="18"/>
        </w:rPr>
      </w:pPr>
      <w:r w:rsidRPr="000A31D7">
        <w:rPr>
          <w:i/>
          <w:sz w:val="18"/>
          <w:szCs w:val="18"/>
        </w:rPr>
        <w:t xml:space="preserve">Figures are rounded to the nearest </w:t>
      </w:r>
      <w:r w:rsidR="00790D34" w:rsidRPr="000A31D7">
        <w:rPr>
          <w:i/>
          <w:sz w:val="18"/>
          <w:szCs w:val="18"/>
        </w:rPr>
        <w:t>percentage point</w:t>
      </w:r>
      <w:r w:rsidRPr="000A31D7">
        <w:rPr>
          <w:i/>
          <w:sz w:val="18"/>
          <w:szCs w:val="18"/>
        </w:rPr>
        <w:t xml:space="preserve"> and therefore may not sum to 100.</w:t>
      </w:r>
    </w:p>
    <w:p w14:paraId="6E8348F9" w14:textId="41E56829" w:rsidR="00C84D78" w:rsidRDefault="00666AE5" w:rsidP="00666AE5">
      <w:pPr>
        <w:ind w:left="993" w:hanging="633"/>
        <w:jc w:val="both"/>
        <w:rPr>
          <w:rStyle w:val="SubtleEmphasis"/>
        </w:rPr>
      </w:pPr>
      <w:r w:rsidRPr="00666AE5">
        <w:rPr>
          <w:rStyle w:val="SubtleEmphasis"/>
        </w:rPr>
        <w:t>3.2.1</w:t>
      </w:r>
      <w:r w:rsidR="00C84D78">
        <w:rPr>
          <w:rStyle w:val="SubtleEmphasis"/>
        </w:rPr>
        <w:t>a</w:t>
      </w:r>
      <w:r w:rsidRPr="00666AE5">
        <w:rPr>
          <w:rStyle w:val="SubtleEmphasis"/>
        </w:rPr>
        <w:t>:</w:t>
      </w:r>
      <w:r w:rsidRPr="00666AE5">
        <w:rPr>
          <w:rStyle w:val="SubtleEmphasis"/>
        </w:rPr>
        <w:tab/>
      </w:r>
      <w:r w:rsidR="00C84D78" w:rsidRPr="00C84D78">
        <w:rPr>
          <w:rStyle w:val="SubtleEmphasis"/>
        </w:rPr>
        <w:t>The department’s promotion processes and criteria for nominating candidates for promotion are well communicated, consistent, fair in application and transparent.</w:t>
      </w:r>
    </w:p>
    <w:p w14:paraId="394372F5" w14:textId="71C64548" w:rsidR="00666AE5" w:rsidRPr="00666AE5" w:rsidRDefault="00C84D78" w:rsidP="00666AE5">
      <w:pPr>
        <w:ind w:left="993" w:hanging="633"/>
        <w:jc w:val="both"/>
        <w:rPr>
          <w:rStyle w:val="SubtleEmphasis"/>
        </w:rPr>
      </w:pPr>
      <w:r>
        <w:rPr>
          <w:rStyle w:val="SubtleEmphasis"/>
        </w:rPr>
        <w:t>3.2.1b:</w:t>
      </w:r>
      <w:r>
        <w:rPr>
          <w:rStyle w:val="SubtleEmphasis"/>
        </w:rPr>
        <w:tab/>
      </w:r>
      <w:r w:rsidRPr="00C84D78">
        <w:rPr>
          <w:rStyle w:val="SubtleEmphasis"/>
        </w:rPr>
        <w:t>Staff in the department are supported through the process of promotion with, for example, help in the preparation of the application and mock interviews.</w:t>
      </w:r>
    </w:p>
    <w:p w14:paraId="4CC7865D" w14:textId="1A3C08F0" w:rsidR="00666AE5" w:rsidRPr="00666AE5" w:rsidRDefault="00666AE5" w:rsidP="00666AE5">
      <w:pPr>
        <w:ind w:left="993" w:hanging="633"/>
        <w:jc w:val="both"/>
        <w:rPr>
          <w:rStyle w:val="SubtleEmphasis"/>
        </w:rPr>
      </w:pPr>
      <w:r w:rsidRPr="00666AE5">
        <w:rPr>
          <w:rStyle w:val="SubtleEmphasis"/>
        </w:rPr>
        <w:t>3.2.2:</w:t>
      </w:r>
      <w:r w:rsidRPr="00666AE5">
        <w:rPr>
          <w:rStyle w:val="SubtleEmphasis"/>
        </w:rPr>
        <w:tab/>
        <w:t>There is a clear policy on how career breaks are considered in the promotions process.</w:t>
      </w:r>
    </w:p>
    <w:p w14:paraId="0C2F9DAE" w14:textId="5AE4914B" w:rsidR="00666AE5" w:rsidRPr="00666AE5" w:rsidRDefault="00666AE5" w:rsidP="00666AE5">
      <w:pPr>
        <w:ind w:left="993" w:hanging="633"/>
        <w:jc w:val="both"/>
        <w:rPr>
          <w:rStyle w:val="SubtleEmphasis"/>
        </w:rPr>
      </w:pPr>
      <w:r w:rsidRPr="00666AE5">
        <w:rPr>
          <w:rStyle w:val="SubtleEmphasis"/>
        </w:rPr>
        <w:t>3.2.3:</w:t>
      </w:r>
      <w:r w:rsidRPr="00666AE5">
        <w:rPr>
          <w:rStyle w:val="SubtleEmphasis"/>
        </w:rPr>
        <w:tab/>
        <w:t>Feedback is given to unsuccessful applicants for promotion.</w:t>
      </w:r>
    </w:p>
    <w:p w14:paraId="015FFFCA" w14:textId="6F51E7AF" w:rsidR="00666AE5" w:rsidRPr="003D2D44" w:rsidRDefault="00666AE5" w:rsidP="00666AE5">
      <w:pPr>
        <w:ind w:left="993" w:hanging="633"/>
        <w:jc w:val="both"/>
        <w:rPr>
          <w:i/>
          <w:sz w:val="18"/>
          <w:szCs w:val="18"/>
        </w:rPr>
      </w:pPr>
      <w:r w:rsidRPr="00666AE5">
        <w:rPr>
          <w:rStyle w:val="SubtleEmphasis"/>
        </w:rPr>
        <w:t>3.2.4:</w:t>
      </w:r>
      <w:r w:rsidRPr="00666AE5">
        <w:rPr>
          <w:rStyle w:val="SubtleEmphasis"/>
        </w:rPr>
        <w:tab/>
      </w:r>
      <w:r w:rsidR="00C84D78" w:rsidRPr="00C84D78">
        <w:rPr>
          <w:rStyle w:val="SubtleEmphasis"/>
        </w:rPr>
        <w:t>The department ensures that those involved in promotion decisions have undertaken appropriate equity and diversity training.</w:t>
      </w:r>
    </w:p>
    <w:p w14:paraId="03CD291B" w14:textId="77777777" w:rsidR="00520044" w:rsidRDefault="00520044" w:rsidP="00043DAA">
      <w:pPr>
        <w:pStyle w:val="Heading2"/>
        <w:sectPr w:rsidR="00520044" w:rsidSect="00520044">
          <w:pgSz w:w="11906" w:h="16838"/>
          <w:pgMar w:top="1440" w:right="1440" w:bottom="1440" w:left="1440" w:header="709" w:footer="709" w:gutter="0"/>
          <w:cols w:space="708"/>
          <w:docGrid w:linePitch="360"/>
        </w:sectPr>
      </w:pPr>
    </w:p>
    <w:p w14:paraId="3E94D53E" w14:textId="0DF4CF9B" w:rsidR="002E566C" w:rsidRDefault="002E566C" w:rsidP="00043DAA">
      <w:pPr>
        <w:pStyle w:val="Heading2"/>
      </w:pPr>
      <w:bookmarkStart w:id="11" w:name="_Toc329540729"/>
      <w:r w:rsidRPr="008C5954">
        <w:rPr>
          <w:b/>
        </w:rPr>
        <w:lastRenderedPageBreak/>
        <w:t>Principle 4</w:t>
      </w:r>
      <w:r w:rsidRPr="003D2D44">
        <w:t xml:space="preserve">: Departmental organisation, structure, management </w:t>
      </w:r>
      <w:r w:rsidR="00790D34" w:rsidRPr="003D2D44">
        <w:t>arrangements</w:t>
      </w:r>
      <w:r w:rsidRPr="003D2D44">
        <w:t xml:space="preserve">, and culture that are open, inclusive and transparent and encourage the </w:t>
      </w:r>
      <w:r w:rsidR="00790D34" w:rsidRPr="003D2D44">
        <w:t>participation</w:t>
      </w:r>
      <w:r w:rsidRPr="003D2D44">
        <w:t xml:space="preserve"> of all staff</w:t>
      </w:r>
      <w:bookmarkEnd w:id="11"/>
    </w:p>
    <w:p w14:paraId="6EC58476" w14:textId="77777777" w:rsidR="002E566C" w:rsidRPr="003D2D44" w:rsidRDefault="002E566C" w:rsidP="00FC43AD">
      <w:pPr>
        <w:pStyle w:val="Heading3"/>
      </w:pPr>
      <w:bookmarkStart w:id="12" w:name="_Toc329540730"/>
      <w:r w:rsidRPr="00D9039D">
        <w:rPr>
          <w:b/>
        </w:rPr>
        <w:t>4.1</w:t>
      </w:r>
      <w:r w:rsidRPr="003D2D44">
        <w:t xml:space="preserve"> Promote an inclusive culture</w:t>
      </w:r>
      <w:bookmarkEnd w:id="12"/>
    </w:p>
    <w:p w14:paraId="3C52D55F" w14:textId="77777777" w:rsidR="007A4813" w:rsidRDefault="007A4813" w:rsidP="002E566C">
      <w:pPr>
        <w:jc w:val="both"/>
      </w:pPr>
    </w:p>
    <w:p w14:paraId="41CDB362" w14:textId="3FA5E19C" w:rsidR="005E5F0F" w:rsidRDefault="007461BD" w:rsidP="00235F47">
      <w:pPr>
        <w:jc w:val="both"/>
        <w:rPr>
          <w:iCs/>
        </w:rPr>
      </w:pPr>
      <w:r>
        <w:t>Quantitative responses tended to cluster around C-D for most questions. Question 21 (</w:t>
      </w:r>
      <w:r w:rsidRPr="007461BD">
        <w:rPr>
          <w:i/>
          <w:iCs/>
        </w:rPr>
        <w:t>The department ensures that all staff undertake equity and diversity training and/or unconscious bias training, as part of their induct</w:t>
      </w:r>
      <w:r>
        <w:rPr>
          <w:i/>
          <w:iCs/>
        </w:rPr>
        <w:t>ion or their career development</w:t>
      </w:r>
      <w:r>
        <w:rPr>
          <w:iCs/>
        </w:rPr>
        <w:t xml:space="preserve">) however, was clustered around </w:t>
      </w:r>
      <w:r w:rsidR="005E5F0F">
        <w:rPr>
          <w:iCs/>
        </w:rPr>
        <w:t xml:space="preserve">C-E. 3 items (4.1.1, 4.1.6a, and 4.1.6b) were rated higher than in the 2015 survey, showing </w:t>
      </w:r>
      <w:r w:rsidR="008554EF">
        <w:rPr>
          <w:iCs/>
        </w:rPr>
        <w:t xml:space="preserve">particular </w:t>
      </w:r>
      <w:r w:rsidR="005E5F0F">
        <w:rPr>
          <w:iCs/>
        </w:rPr>
        <w:t>improvement in the monitoring and reporting of the gender of seminar speakers, and the seeking of speakers from under-represented groups for departmental seminars.</w:t>
      </w:r>
      <w:r w:rsidR="008554EF">
        <w:rPr>
          <w:iCs/>
        </w:rPr>
        <w:t xml:space="preserve"> Qualitative responses indicated that this monitoring is largely driven by individuals in the department, particularly those who are members of the equity committee, with minimal leadership from senior staff or other members of the department. Moreover, respondents suggested that international speakers in colloquia are often members of dominant groups, which raises the question of whether staff who invite international visitors are inviting women and people from ethnic minority groups.</w:t>
      </w:r>
      <w:r w:rsidR="00235F47">
        <w:rPr>
          <w:iCs/>
        </w:rPr>
        <w:t xml:space="preserve"> </w:t>
      </w:r>
    </w:p>
    <w:p w14:paraId="754D38A2" w14:textId="19FD08EA" w:rsidR="008554EF" w:rsidRDefault="00235F47" w:rsidP="007461BD">
      <w:pPr>
        <w:jc w:val="both"/>
        <w:rPr>
          <w:iCs/>
        </w:rPr>
      </w:pPr>
      <w:r>
        <w:rPr>
          <w:iCs/>
        </w:rPr>
        <w:t>Respondents also suggested that the lack of induction and career development activities mean that there are limited opportunities for equity training and the communication of departmental values</w:t>
      </w:r>
      <w:r w:rsidR="00EB1D74">
        <w:rPr>
          <w:iCs/>
        </w:rPr>
        <w:t xml:space="preserve">. One respondent also indicated that they were unsure if the department values were written down, and was unaware how these values were expected to be manifested in the everyday processes of the department. </w:t>
      </w:r>
    </w:p>
    <w:p w14:paraId="6AEBBEE9" w14:textId="77777777" w:rsidR="00C046A3" w:rsidRDefault="00C046A3" w:rsidP="00EB1D74">
      <w:pPr>
        <w:ind w:firstLine="0"/>
        <w:jc w:val="both"/>
      </w:pPr>
    </w:p>
    <w:p w14:paraId="7107D439" w14:textId="77777777" w:rsidR="00C046A3" w:rsidRDefault="00C046A3" w:rsidP="002E566C">
      <w:pPr>
        <w:jc w:val="both"/>
      </w:pPr>
    </w:p>
    <w:p w14:paraId="5C2C35B4" w14:textId="77777777" w:rsidR="002E566C" w:rsidRPr="00FC43AD" w:rsidRDefault="002E566C" w:rsidP="002E566C">
      <w:pPr>
        <w:jc w:val="both"/>
        <w:rPr>
          <w:rStyle w:val="Emphasis"/>
        </w:rPr>
      </w:pPr>
      <w:r w:rsidRPr="00FC43AD">
        <w:rPr>
          <w:rStyle w:val="Emphasis"/>
        </w:rPr>
        <w:t>Quantitative summary:</w:t>
      </w:r>
    </w:p>
    <w:tbl>
      <w:tblPr>
        <w:tblStyle w:val="TableGrid"/>
        <w:tblW w:w="0" w:type="auto"/>
        <w:tblLook w:val="04A0" w:firstRow="1" w:lastRow="0" w:firstColumn="1" w:lastColumn="0" w:noHBand="0" w:noVBand="1"/>
      </w:tblPr>
      <w:tblGrid>
        <w:gridCol w:w="1618"/>
        <w:gridCol w:w="1384"/>
        <w:gridCol w:w="1503"/>
        <w:gridCol w:w="1503"/>
        <w:gridCol w:w="1504"/>
        <w:gridCol w:w="1504"/>
      </w:tblGrid>
      <w:tr w:rsidR="002E566C" w14:paraId="4E504143" w14:textId="77777777" w:rsidTr="00734B55">
        <w:tc>
          <w:tcPr>
            <w:tcW w:w="1618" w:type="dxa"/>
          </w:tcPr>
          <w:p w14:paraId="27152B16" w14:textId="77777777" w:rsidR="002E566C" w:rsidRDefault="002E566C" w:rsidP="00A8411F">
            <w:pPr>
              <w:jc w:val="both"/>
            </w:pPr>
          </w:p>
        </w:tc>
        <w:tc>
          <w:tcPr>
            <w:tcW w:w="1384" w:type="dxa"/>
          </w:tcPr>
          <w:p w14:paraId="7222A5A9" w14:textId="77777777" w:rsidR="002E566C" w:rsidRDefault="002E566C" w:rsidP="00A8411F">
            <w:pPr>
              <w:jc w:val="both"/>
            </w:pPr>
            <w:r>
              <w:t>A</w:t>
            </w:r>
          </w:p>
        </w:tc>
        <w:tc>
          <w:tcPr>
            <w:tcW w:w="1503" w:type="dxa"/>
          </w:tcPr>
          <w:p w14:paraId="363A26DA" w14:textId="77777777" w:rsidR="002E566C" w:rsidRDefault="002E566C" w:rsidP="00A8411F">
            <w:pPr>
              <w:jc w:val="both"/>
            </w:pPr>
            <w:r>
              <w:t>B</w:t>
            </w:r>
          </w:p>
        </w:tc>
        <w:tc>
          <w:tcPr>
            <w:tcW w:w="1503" w:type="dxa"/>
            <w:tcBorders>
              <w:bottom w:val="single" w:sz="4" w:space="0" w:color="auto"/>
            </w:tcBorders>
          </w:tcPr>
          <w:p w14:paraId="6FF146BE" w14:textId="77777777" w:rsidR="002E566C" w:rsidRDefault="002E566C" w:rsidP="00A8411F">
            <w:pPr>
              <w:jc w:val="both"/>
            </w:pPr>
            <w:r>
              <w:t>C</w:t>
            </w:r>
          </w:p>
        </w:tc>
        <w:tc>
          <w:tcPr>
            <w:tcW w:w="1504" w:type="dxa"/>
            <w:tcBorders>
              <w:bottom w:val="single" w:sz="4" w:space="0" w:color="auto"/>
            </w:tcBorders>
          </w:tcPr>
          <w:p w14:paraId="1633E727" w14:textId="77777777" w:rsidR="002E566C" w:rsidRDefault="002E566C" w:rsidP="00A8411F">
            <w:pPr>
              <w:jc w:val="both"/>
            </w:pPr>
            <w:r>
              <w:t>D</w:t>
            </w:r>
          </w:p>
        </w:tc>
        <w:tc>
          <w:tcPr>
            <w:tcW w:w="1504" w:type="dxa"/>
          </w:tcPr>
          <w:p w14:paraId="60378E05" w14:textId="77777777" w:rsidR="002E566C" w:rsidRDefault="002E566C" w:rsidP="00A8411F">
            <w:pPr>
              <w:jc w:val="both"/>
            </w:pPr>
            <w:r>
              <w:t>E</w:t>
            </w:r>
          </w:p>
        </w:tc>
      </w:tr>
      <w:tr w:rsidR="00734B55" w14:paraId="289F8AFD" w14:textId="77777777" w:rsidTr="00304E60">
        <w:tc>
          <w:tcPr>
            <w:tcW w:w="1618" w:type="dxa"/>
          </w:tcPr>
          <w:p w14:paraId="77E4934F" w14:textId="12A7E239" w:rsidR="00734B55" w:rsidRDefault="00734B55" w:rsidP="00734B55">
            <w:pPr>
              <w:jc w:val="both"/>
            </w:pPr>
            <w:r>
              <w:t>Q20 (4.1.1)</w:t>
            </w:r>
          </w:p>
        </w:tc>
        <w:tc>
          <w:tcPr>
            <w:tcW w:w="1384" w:type="dxa"/>
            <w:shd w:val="clear" w:color="auto" w:fill="FFFF99"/>
          </w:tcPr>
          <w:p w14:paraId="16F43417" w14:textId="528C6800" w:rsidR="00734B55" w:rsidRDefault="00734B55" w:rsidP="00734B55">
            <w:pPr>
              <w:jc w:val="both"/>
            </w:pPr>
            <w:r>
              <w:t>22%</w:t>
            </w:r>
          </w:p>
        </w:tc>
        <w:tc>
          <w:tcPr>
            <w:tcW w:w="1503" w:type="dxa"/>
            <w:shd w:val="clear" w:color="auto" w:fill="FFFF99"/>
          </w:tcPr>
          <w:p w14:paraId="317F0988" w14:textId="670B12AC" w:rsidR="00734B55" w:rsidRDefault="00734B55" w:rsidP="00734B55">
            <w:pPr>
              <w:jc w:val="both"/>
            </w:pPr>
            <w:r>
              <w:t>35%</w:t>
            </w:r>
          </w:p>
        </w:tc>
        <w:tc>
          <w:tcPr>
            <w:tcW w:w="1503" w:type="dxa"/>
            <w:tcBorders>
              <w:bottom w:val="single" w:sz="4" w:space="0" w:color="auto"/>
            </w:tcBorders>
            <w:shd w:val="clear" w:color="auto" w:fill="FFFF99"/>
          </w:tcPr>
          <w:p w14:paraId="719D8291" w14:textId="3AE449E3" w:rsidR="00734B55" w:rsidRDefault="00734B55" w:rsidP="00734B55">
            <w:pPr>
              <w:jc w:val="both"/>
            </w:pPr>
            <w:r>
              <w:t>24%</w:t>
            </w:r>
          </w:p>
        </w:tc>
        <w:tc>
          <w:tcPr>
            <w:tcW w:w="1504" w:type="dxa"/>
            <w:shd w:val="clear" w:color="auto" w:fill="FFFFFF" w:themeFill="background1"/>
          </w:tcPr>
          <w:p w14:paraId="42A6DE8D" w14:textId="2D6C4210" w:rsidR="00734B55" w:rsidRDefault="00734B55" w:rsidP="00734B55">
            <w:pPr>
              <w:jc w:val="both"/>
            </w:pPr>
            <w:r>
              <w:t>8%</w:t>
            </w:r>
          </w:p>
        </w:tc>
        <w:tc>
          <w:tcPr>
            <w:tcW w:w="1504" w:type="dxa"/>
            <w:tcBorders>
              <w:bottom w:val="single" w:sz="4" w:space="0" w:color="auto"/>
            </w:tcBorders>
          </w:tcPr>
          <w:p w14:paraId="16B49407" w14:textId="04EF2DEF" w:rsidR="00734B55" w:rsidRDefault="00734B55" w:rsidP="00734B55">
            <w:pPr>
              <w:jc w:val="both"/>
            </w:pPr>
            <w:r>
              <w:t>11%</w:t>
            </w:r>
          </w:p>
        </w:tc>
      </w:tr>
      <w:tr w:rsidR="002E566C" w14:paraId="7CF55ED0" w14:textId="77777777" w:rsidTr="009F1CC9">
        <w:tc>
          <w:tcPr>
            <w:tcW w:w="1618" w:type="dxa"/>
          </w:tcPr>
          <w:p w14:paraId="0BA3D977" w14:textId="77777777" w:rsidR="002E566C" w:rsidRDefault="002E566C" w:rsidP="00A8411F">
            <w:pPr>
              <w:jc w:val="both"/>
            </w:pPr>
            <w:r>
              <w:t>Q21 (4.1.2)</w:t>
            </w:r>
          </w:p>
        </w:tc>
        <w:tc>
          <w:tcPr>
            <w:tcW w:w="1384" w:type="dxa"/>
          </w:tcPr>
          <w:p w14:paraId="27DA5DA2" w14:textId="588AA700" w:rsidR="002E566C" w:rsidRDefault="00734B55" w:rsidP="00A8411F">
            <w:pPr>
              <w:jc w:val="both"/>
            </w:pPr>
            <w:r>
              <w:t>8</w:t>
            </w:r>
            <w:r w:rsidR="002E566C">
              <w:t>%</w:t>
            </w:r>
          </w:p>
        </w:tc>
        <w:tc>
          <w:tcPr>
            <w:tcW w:w="1503" w:type="dxa"/>
          </w:tcPr>
          <w:p w14:paraId="7F46DA8D" w14:textId="54D69F84" w:rsidR="002E566C" w:rsidRDefault="00734B55" w:rsidP="00A8411F">
            <w:pPr>
              <w:jc w:val="both"/>
            </w:pPr>
            <w:r>
              <w:t>8</w:t>
            </w:r>
            <w:r w:rsidR="002E566C">
              <w:t>%</w:t>
            </w:r>
          </w:p>
        </w:tc>
        <w:tc>
          <w:tcPr>
            <w:tcW w:w="1503" w:type="dxa"/>
            <w:tcBorders>
              <w:top w:val="single" w:sz="4" w:space="0" w:color="auto"/>
              <w:bottom w:val="single" w:sz="4" w:space="0" w:color="auto"/>
            </w:tcBorders>
            <w:shd w:val="clear" w:color="auto" w:fill="FABF8F" w:themeFill="accent6" w:themeFillTint="99"/>
          </w:tcPr>
          <w:p w14:paraId="5C3B5718" w14:textId="7DF71B3E" w:rsidR="002E566C" w:rsidRDefault="00734B55" w:rsidP="00A8411F">
            <w:pPr>
              <w:jc w:val="both"/>
            </w:pPr>
            <w:r>
              <w:t>44</w:t>
            </w:r>
            <w:r w:rsidR="002E566C">
              <w:t>%</w:t>
            </w:r>
          </w:p>
        </w:tc>
        <w:tc>
          <w:tcPr>
            <w:tcW w:w="1504" w:type="dxa"/>
            <w:tcBorders>
              <w:bottom w:val="single" w:sz="4" w:space="0" w:color="auto"/>
            </w:tcBorders>
          </w:tcPr>
          <w:p w14:paraId="6B8927EE" w14:textId="77777777" w:rsidR="002E566C" w:rsidRDefault="002E566C" w:rsidP="00A8411F">
            <w:pPr>
              <w:jc w:val="both"/>
            </w:pPr>
            <w:r>
              <w:t>14%</w:t>
            </w:r>
          </w:p>
        </w:tc>
        <w:tc>
          <w:tcPr>
            <w:tcW w:w="1504" w:type="dxa"/>
            <w:tcBorders>
              <w:bottom w:val="single" w:sz="4" w:space="0" w:color="auto"/>
            </w:tcBorders>
            <w:shd w:val="clear" w:color="auto" w:fill="FFFF99"/>
          </w:tcPr>
          <w:p w14:paraId="07CDCB1A" w14:textId="3D10FC3B" w:rsidR="002E566C" w:rsidRDefault="00734B55" w:rsidP="00A8411F">
            <w:pPr>
              <w:jc w:val="both"/>
            </w:pPr>
            <w:r>
              <w:t>25</w:t>
            </w:r>
            <w:r w:rsidR="002E566C">
              <w:t>%</w:t>
            </w:r>
          </w:p>
        </w:tc>
      </w:tr>
      <w:tr w:rsidR="002E566C" w14:paraId="2341B9E0" w14:textId="77777777" w:rsidTr="00304E60">
        <w:tc>
          <w:tcPr>
            <w:tcW w:w="1618" w:type="dxa"/>
          </w:tcPr>
          <w:p w14:paraId="6C433E82" w14:textId="2FD8D673" w:rsidR="002E566C" w:rsidRDefault="002E566C" w:rsidP="00A8411F">
            <w:pPr>
              <w:jc w:val="both"/>
            </w:pPr>
            <w:r>
              <w:t>Q22 (4.1.3</w:t>
            </w:r>
            <w:r w:rsidR="00E128DC">
              <w:t>a</w:t>
            </w:r>
            <w:r>
              <w:t>)</w:t>
            </w:r>
          </w:p>
        </w:tc>
        <w:tc>
          <w:tcPr>
            <w:tcW w:w="1384" w:type="dxa"/>
            <w:tcBorders>
              <w:bottom w:val="single" w:sz="4" w:space="0" w:color="auto"/>
            </w:tcBorders>
          </w:tcPr>
          <w:p w14:paraId="6AC1DF42" w14:textId="76F9C7D8" w:rsidR="002E566C" w:rsidRDefault="00E128DC" w:rsidP="00A8411F">
            <w:pPr>
              <w:jc w:val="both"/>
            </w:pPr>
            <w:r>
              <w:t>19</w:t>
            </w:r>
            <w:r w:rsidR="002E566C">
              <w:t>%</w:t>
            </w:r>
          </w:p>
        </w:tc>
        <w:tc>
          <w:tcPr>
            <w:tcW w:w="1503" w:type="dxa"/>
            <w:tcBorders>
              <w:bottom w:val="single" w:sz="4" w:space="0" w:color="auto"/>
            </w:tcBorders>
            <w:shd w:val="clear" w:color="auto" w:fill="FFFF99"/>
          </w:tcPr>
          <w:p w14:paraId="2A9EE5AF" w14:textId="017B7ECA" w:rsidR="002E566C" w:rsidRDefault="00E128DC" w:rsidP="00A8411F">
            <w:pPr>
              <w:jc w:val="both"/>
            </w:pPr>
            <w:r>
              <w:t>28</w:t>
            </w:r>
            <w:r w:rsidR="002E566C">
              <w:t>%</w:t>
            </w:r>
          </w:p>
        </w:tc>
        <w:tc>
          <w:tcPr>
            <w:tcW w:w="1503" w:type="dxa"/>
            <w:tcBorders>
              <w:top w:val="single" w:sz="4" w:space="0" w:color="auto"/>
              <w:bottom w:val="single" w:sz="4" w:space="0" w:color="auto"/>
            </w:tcBorders>
            <w:shd w:val="clear" w:color="auto" w:fill="FFFF99"/>
          </w:tcPr>
          <w:p w14:paraId="2CDE23F9" w14:textId="77777777" w:rsidR="002E566C" w:rsidRDefault="002E566C" w:rsidP="00A8411F">
            <w:pPr>
              <w:jc w:val="both"/>
            </w:pPr>
            <w:r>
              <w:t>31%</w:t>
            </w:r>
          </w:p>
        </w:tc>
        <w:tc>
          <w:tcPr>
            <w:tcW w:w="1504" w:type="dxa"/>
            <w:shd w:val="clear" w:color="auto" w:fill="FFFFFF" w:themeFill="background1"/>
          </w:tcPr>
          <w:p w14:paraId="6116C02D" w14:textId="2F79936B" w:rsidR="002E566C" w:rsidRDefault="00E128DC" w:rsidP="00A8411F">
            <w:pPr>
              <w:jc w:val="both"/>
            </w:pPr>
            <w:r>
              <w:t>14</w:t>
            </w:r>
            <w:r w:rsidR="002E566C">
              <w:t>%</w:t>
            </w:r>
          </w:p>
        </w:tc>
        <w:tc>
          <w:tcPr>
            <w:tcW w:w="1504" w:type="dxa"/>
            <w:shd w:val="clear" w:color="auto" w:fill="FFFFFF" w:themeFill="background1"/>
          </w:tcPr>
          <w:p w14:paraId="40D76B72" w14:textId="737299AF" w:rsidR="002E566C" w:rsidRDefault="00E128DC" w:rsidP="00A8411F">
            <w:pPr>
              <w:jc w:val="both"/>
            </w:pPr>
            <w:r>
              <w:t>8</w:t>
            </w:r>
            <w:r w:rsidR="002E566C">
              <w:t>%</w:t>
            </w:r>
          </w:p>
        </w:tc>
      </w:tr>
      <w:tr w:rsidR="00E128DC" w14:paraId="12B09A1E" w14:textId="77777777" w:rsidTr="00304E60">
        <w:tc>
          <w:tcPr>
            <w:tcW w:w="1618" w:type="dxa"/>
          </w:tcPr>
          <w:p w14:paraId="7260D44A" w14:textId="2CA7BA84" w:rsidR="00E128DC" w:rsidRDefault="00E128DC" w:rsidP="00A8411F">
            <w:pPr>
              <w:jc w:val="both"/>
            </w:pPr>
            <w:r w:rsidRPr="00E128DC">
              <w:rPr>
                <w:lang w:val="en-AU"/>
              </w:rPr>
              <w:t>Q22 (4.1.3</w:t>
            </w:r>
            <w:r>
              <w:rPr>
                <w:lang w:val="en-AU"/>
              </w:rPr>
              <w:t>b</w:t>
            </w:r>
            <w:r w:rsidRPr="00E128DC">
              <w:rPr>
                <w:lang w:val="en-AU"/>
              </w:rPr>
              <w:t>)</w:t>
            </w:r>
          </w:p>
        </w:tc>
        <w:tc>
          <w:tcPr>
            <w:tcW w:w="1384" w:type="dxa"/>
            <w:tcBorders>
              <w:bottom w:val="single" w:sz="4" w:space="0" w:color="auto"/>
            </w:tcBorders>
          </w:tcPr>
          <w:p w14:paraId="07BD012A" w14:textId="39AB3165" w:rsidR="00E128DC" w:rsidRDefault="00E128DC" w:rsidP="00A8411F">
            <w:pPr>
              <w:jc w:val="both"/>
            </w:pPr>
            <w:r>
              <w:t>19%</w:t>
            </w:r>
          </w:p>
        </w:tc>
        <w:tc>
          <w:tcPr>
            <w:tcW w:w="1503" w:type="dxa"/>
            <w:tcBorders>
              <w:bottom w:val="single" w:sz="4" w:space="0" w:color="auto"/>
            </w:tcBorders>
          </w:tcPr>
          <w:p w14:paraId="78E2597C" w14:textId="7792C88E" w:rsidR="00E128DC" w:rsidRDefault="00E128DC" w:rsidP="00A8411F">
            <w:pPr>
              <w:jc w:val="both"/>
            </w:pPr>
            <w:r>
              <w:t>19%</w:t>
            </w:r>
          </w:p>
        </w:tc>
        <w:tc>
          <w:tcPr>
            <w:tcW w:w="1503" w:type="dxa"/>
            <w:tcBorders>
              <w:top w:val="single" w:sz="4" w:space="0" w:color="auto"/>
              <w:bottom w:val="single" w:sz="4" w:space="0" w:color="auto"/>
            </w:tcBorders>
            <w:shd w:val="clear" w:color="auto" w:fill="FFFF99"/>
          </w:tcPr>
          <w:p w14:paraId="1E8FD0DA" w14:textId="5524D9C2" w:rsidR="00E128DC" w:rsidRDefault="00E128DC" w:rsidP="00A8411F">
            <w:pPr>
              <w:jc w:val="both"/>
            </w:pPr>
            <w:r>
              <w:t>39%</w:t>
            </w:r>
          </w:p>
        </w:tc>
        <w:tc>
          <w:tcPr>
            <w:tcW w:w="1504" w:type="dxa"/>
            <w:shd w:val="clear" w:color="auto" w:fill="FFFFFF" w:themeFill="background1"/>
          </w:tcPr>
          <w:p w14:paraId="0E4BF6C4" w14:textId="01C2D028" w:rsidR="00E128DC" w:rsidRDefault="00E128DC" w:rsidP="00A8411F">
            <w:pPr>
              <w:jc w:val="both"/>
            </w:pPr>
            <w:r>
              <w:t>14%</w:t>
            </w:r>
          </w:p>
        </w:tc>
        <w:tc>
          <w:tcPr>
            <w:tcW w:w="1504" w:type="dxa"/>
            <w:shd w:val="clear" w:color="auto" w:fill="FFFFFF" w:themeFill="background1"/>
          </w:tcPr>
          <w:p w14:paraId="13468031" w14:textId="29B8387E" w:rsidR="00E128DC" w:rsidRDefault="00E128DC" w:rsidP="00A8411F">
            <w:pPr>
              <w:jc w:val="both"/>
            </w:pPr>
            <w:r>
              <w:t>8%</w:t>
            </w:r>
          </w:p>
        </w:tc>
      </w:tr>
      <w:tr w:rsidR="002E566C" w14:paraId="441AD68B" w14:textId="77777777" w:rsidTr="009F1CC9">
        <w:tc>
          <w:tcPr>
            <w:tcW w:w="1618" w:type="dxa"/>
          </w:tcPr>
          <w:p w14:paraId="2B848877" w14:textId="77777777" w:rsidR="002E566C" w:rsidRDefault="002E566C" w:rsidP="00A8411F">
            <w:pPr>
              <w:jc w:val="both"/>
            </w:pPr>
            <w:r>
              <w:t>Q23 (4.1.4)</w:t>
            </w:r>
          </w:p>
        </w:tc>
        <w:tc>
          <w:tcPr>
            <w:tcW w:w="1384" w:type="dxa"/>
            <w:shd w:val="clear" w:color="auto" w:fill="FFFF99"/>
          </w:tcPr>
          <w:p w14:paraId="1673F8A7" w14:textId="34CB6955" w:rsidR="002E566C" w:rsidRDefault="00E128DC" w:rsidP="00A8411F">
            <w:pPr>
              <w:jc w:val="both"/>
            </w:pPr>
            <w:r>
              <w:t>22</w:t>
            </w:r>
            <w:r w:rsidR="002E566C">
              <w:t>%</w:t>
            </w:r>
          </w:p>
        </w:tc>
        <w:tc>
          <w:tcPr>
            <w:tcW w:w="1503" w:type="dxa"/>
            <w:tcBorders>
              <w:bottom w:val="single" w:sz="4" w:space="0" w:color="auto"/>
            </w:tcBorders>
            <w:shd w:val="clear" w:color="auto" w:fill="FFFF99"/>
          </w:tcPr>
          <w:p w14:paraId="7A16D3B7" w14:textId="0C62F2B8" w:rsidR="002E566C" w:rsidRDefault="00E128DC" w:rsidP="00A8411F">
            <w:pPr>
              <w:jc w:val="both"/>
            </w:pPr>
            <w:r>
              <w:t>39%</w:t>
            </w:r>
          </w:p>
        </w:tc>
        <w:tc>
          <w:tcPr>
            <w:tcW w:w="1503" w:type="dxa"/>
            <w:tcBorders>
              <w:top w:val="single" w:sz="4" w:space="0" w:color="auto"/>
              <w:bottom w:val="single" w:sz="4" w:space="0" w:color="auto"/>
            </w:tcBorders>
            <w:shd w:val="clear" w:color="auto" w:fill="FFFF99"/>
          </w:tcPr>
          <w:p w14:paraId="58C50465" w14:textId="5A68B6FA" w:rsidR="002E566C" w:rsidRDefault="00E128DC" w:rsidP="00A8411F">
            <w:pPr>
              <w:jc w:val="both"/>
            </w:pPr>
            <w:r>
              <w:t>25%</w:t>
            </w:r>
          </w:p>
        </w:tc>
        <w:tc>
          <w:tcPr>
            <w:tcW w:w="1504" w:type="dxa"/>
          </w:tcPr>
          <w:p w14:paraId="19468CB5" w14:textId="4A35EBE8" w:rsidR="002E566C" w:rsidRDefault="00E128DC" w:rsidP="00A8411F">
            <w:pPr>
              <w:jc w:val="both"/>
            </w:pPr>
            <w:r>
              <w:t>14</w:t>
            </w:r>
            <w:r w:rsidR="002E566C">
              <w:t>%</w:t>
            </w:r>
          </w:p>
        </w:tc>
        <w:tc>
          <w:tcPr>
            <w:tcW w:w="1504" w:type="dxa"/>
          </w:tcPr>
          <w:p w14:paraId="4290B274" w14:textId="77777777" w:rsidR="002E566C" w:rsidRDefault="002E566C" w:rsidP="00A8411F">
            <w:pPr>
              <w:jc w:val="both"/>
            </w:pPr>
            <w:r>
              <w:t>0%</w:t>
            </w:r>
          </w:p>
        </w:tc>
      </w:tr>
      <w:tr w:rsidR="00E128DC" w14:paraId="0D9EBA10" w14:textId="77777777" w:rsidTr="009F1CC9">
        <w:tc>
          <w:tcPr>
            <w:tcW w:w="1618" w:type="dxa"/>
          </w:tcPr>
          <w:p w14:paraId="54A57A7F" w14:textId="6CCE7FDD" w:rsidR="00E128DC" w:rsidRDefault="00E128DC" w:rsidP="00E128DC">
            <w:pPr>
              <w:jc w:val="both"/>
            </w:pPr>
            <w:r>
              <w:t>Q24 (4.1.5a)</w:t>
            </w:r>
          </w:p>
        </w:tc>
        <w:tc>
          <w:tcPr>
            <w:tcW w:w="1384" w:type="dxa"/>
          </w:tcPr>
          <w:p w14:paraId="6B593878" w14:textId="333BB04A" w:rsidR="00E128DC" w:rsidRDefault="00E128DC" w:rsidP="00E128DC">
            <w:pPr>
              <w:jc w:val="both"/>
            </w:pPr>
            <w:r>
              <w:t>17%</w:t>
            </w:r>
          </w:p>
        </w:tc>
        <w:tc>
          <w:tcPr>
            <w:tcW w:w="1503" w:type="dxa"/>
            <w:shd w:val="clear" w:color="auto" w:fill="FABF8F" w:themeFill="accent6" w:themeFillTint="99"/>
          </w:tcPr>
          <w:p w14:paraId="58D847BB" w14:textId="1A67B4F8" w:rsidR="00E128DC" w:rsidRDefault="00E128DC" w:rsidP="00E128DC">
            <w:pPr>
              <w:jc w:val="both"/>
            </w:pPr>
            <w:r>
              <w:t>42%</w:t>
            </w:r>
          </w:p>
        </w:tc>
        <w:tc>
          <w:tcPr>
            <w:tcW w:w="1503" w:type="dxa"/>
            <w:tcBorders>
              <w:top w:val="single" w:sz="4" w:space="0" w:color="auto"/>
            </w:tcBorders>
            <w:shd w:val="clear" w:color="auto" w:fill="FFFF99"/>
          </w:tcPr>
          <w:p w14:paraId="7C44BFC0" w14:textId="7C7AB765" w:rsidR="00E128DC" w:rsidRDefault="00E128DC" w:rsidP="00E128DC">
            <w:pPr>
              <w:jc w:val="both"/>
            </w:pPr>
            <w:r>
              <w:t>25%</w:t>
            </w:r>
          </w:p>
        </w:tc>
        <w:tc>
          <w:tcPr>
            <w:tcW w:w="1504" w:type="dxa"/>
          </w:tcPr>
          <w:p w14:paraId="747D1B63" w14:textId="7EB779A5" w:rsidR="00E128DC" w:rsidRDefault="00E128DC" w:rsidP="00E128DC">
            <w:pPr>
              <w:jc w:val="both"/>
            </w:pPr>
            <w:r>
              <w:t>8%</w:t>
            </w:r>
          </w:p>
        </w:tc>
        <w:tc>
          <w:tcPr>
            <w:tcW w:w="1504" w:type="dxa"/>
            <w:tcBorders>
              <w:bottom w:val="single" w:sz="4" w:space="0" w:color="auto"/>
            </w:tcBorders>
          </w:tcPr>
          <w:p w14:paraId="7E90A1DE" w14:textId="48396D78" w:rsidR="00E128DC" w:rsidRDefault="00E128DC" w:rsidP="00E128DC">
            <w:pPr>
              <w:jc w:val="both"/>
            </w:pPr>
            <w:r>
              <w:t>8%</w:t>
            </w:r>
          </w:p>
        </w:tc>
      </w:tr>
      <w:tr w:rsidR="00E128DC" w14:paraId="38624E7C" w14:textId="77777777" w:rsidTr="00734B55">
        <w:tc>
          <w:tcPr>
            <w:tcW w:w="1618" w:type="dxa"/>
          </w:tcPr>
          <w:p w14:paraId="5192DBD2" w14:textId="7EFDD700" w:rsidR="00E128DC" w:rsidRDefault="00E128DC" w:rsidP="00E128DC">
            <w:pPr>
              <w:jc w:val="both"/>
            </w:pPr>
            <w:r w:rsidRPr="00E128DC">
              <w:rPr>
                <w:lang w:val="en-AU"/>
              </w:rPr>
              <w:t>Q24 (4.1.5</w:t>
            </w:r>
            <w:r>
              <w:rPr>
                <w:lang w:val="en-AU"/>
              </w:rPr>
              <w:t>b</w:t>
            </w:r>
            <w:r w:rsidRPr="00E128DC">
              <w:rPr>
                <w:lang w:val="en-AU"/>
              </w:rPr>
              <w:t>)</w:t>
            </w:r>
          </w:p>
        </w:tc>
        <w:tc>
          <w:tcPr>
            <w:tcW w:w="1384" w:type="dxa"/>
          </w:tcPr>
          <w:p w14:paraId="0A07F104" w14:textId="6B2E11E9" w:rsidR="00E128DC" w:rsidRDefault="00E128DC" w:rsidP="00E128DC">
            <w:pPr>
              <w:jc w:val="both"/>
            </w:pPr>
            <w:r>
              <w:t>11%</w:t>
            </w:r>
          </w:p>
        </w:tc>
        <w:tc>
          <w:tcPr>
            <w:tcW w:w="1503" w:type="dxa"/>
            <w:shd w:val="clear" w:color="auto" w:fill="FFFF99"/>
          </w:tcPr>
          <w:p w14:paraId="6DB5E53E" w14:textId="6171FBAC" w:rsidR="00E128DC" w:rsidRDefault="00E128DC" w:rsidP="00E128DC">
            <w:pPr>
              <w:jc w:val="both"/>
            </w:pPr>
            <w:r>
              <w:t>33%</w:t>
            </w:r>
          </w:p>
        </w:tc>
        <w:tc>
          <w:tcPr>
            <w:tcW w:w="1503" w:type="dxa"/>
            <w:tcBorders>
              <w:top w:val="single" w:sz="4" w:space="0" w:color="auto"/>
            </w:tcBorders>
            <w:shd w:val="clear" w:color="auto" w:fill="FFFF99"/>
          </w:tcPr>
          <w:p w14:paraId="76285D9A" w14:textId="6CD0E234" w:rsidR="00E128DC" w:rsidRDefault="00E128DC" w:rsidP="00E128DC">
            <w:pPr>
              <w:jc w:val="both"/>
            </w:pPr>
            <w:r>
              <w:t>39%</w:t>
            </w:r>
          </w:p>
        </w:tc>
        <w:tc>
          <w:tcPr>
            <w:tcW w:w="1504" w:type="dxa"/>
          </w:tcPr>
          <w:p w14:paraId="059BD44F" w14:textId="2482D43C" w:rsidR="00E128DC" w:rsidRDefault="00E128DC" w:rsidP="00E128DC">
            <w:pPr>
              <w:jc w:val="both"/>
            </w:pPr>
            <w:r>
              <w:t>8%</w:t>
            </w:r>
          </w:p>
        </w:tc>
        <w:tc>
          <w:tcPr>
            <w:tcW w:w="1504" w:type="dxa"/>
            <w:tcBorders>
              <w:bottom w:val="single" w:sz="4" w:space="0" w:color="auto"/>
            </w:tcBorders>
          </w:tcPr>
          <w:p w14:paraId="462C9BD0" w14:textId="4A14D8A3" w:rsidR="00E128DC" w:rsidRDefault="00E128DC" w:rsidP="00E128DC">
            <w:pPr>
              <w:jc w:val="both"/>
            </w:pPr>
            <w:r>
              <w:t>8%</w:t>
            </w:r>
          </w:p>
        </w:tc>
      </w:tr>
      <w:tr w:rsidR="002E566C" w14:paraId="497EDA71" w14:textId="77777777" w:rsidTr="00304E60">
        <w:tc>
          <w:tcPr>
            <w:tcW w:w="1618" w:type="dxa"/>
          </w:tcPr>
          <w:p w14:paraId="1D54A765" w14:textId="4C9046E2" w:rsidR="002E566C" w:rsidRDefault="002E566C" w:rsidP="00A8411F">
            <w:pPr>
              <w:jc w:val="both"/>
            </w:pPr>
            <w:r>
              <w:t>Q25 (4.1.6</w:t>
            </w:r>
            <w:r w:rsidR="00D52C27">
              <w:t>a</w:t>
            </w:r>
            <w:r>
              <w:t>)</w:t>
            </w:r>
          </w:p>
        </w:tc>
        <w:tc>
          <w:tcPr>
            <w:tcW w:w="1384" w:type="dxa"/>
          </w:tcPr>
          <w:p w14:paraId="53A68E47" w14:textId="534FBAA8" w:rsidR="002E566C" w:rsidRDefault="00E128DC" w:rsidP="00A8411F">
            <w:pPr>
              <w:jc w:val="both"/>
            </w:pPr>
            <w:r>
              <w:t>17</w:t>
            </w:r>
            <w:r w:rsidR="002E566C">
              <w:t>%</w:t>
            </w:r>
          </w:p>
        </w:tc>
        <w:tc>
          <w:tcPr>
            <w:tcW w:w="1503" w:type="dxa"/>
            <w:shd w:val="clear" w:color="auto" w:fill="FABF8F" w:themeFill="accent6" w:themeFillTint="99"/>
          </w:tcPr>
          <w:p w14:paraId="37AD29A9" w14:textId="2B2359C9" w:rsidR="002E566C" w:rsidRDefault="00E128DC" w:rsidP="00A8411F">
            <w:pPr>
              <w:jc w:val="both"/>
            </w:pPr>
            <w:r>
              <w:t>50</w:t>
            </w:r>
            <w:r w:rsidR="002E566C">
              <w:t>%</w:t>
            </w:r>
          </w:p>
        </w:tc>
        <w:tc>
          <w:tcPr>
            <w:tcW w:w="1503" w:type="dxa"/>
            <w:shd w:val="clear" w:color="auto" w:fill="FFFF99"/>
          </w:tcPr>
          <w:p w14:paraId="09241981" w14:textId="37049A22" w:rsidR="002E566C" w:rsidRDefault="00E128DC" w:rsidP="00A8411F">
            <w:pPr>
              <w:jc w:val="both"/>
            </w:pPr>
            <w:r>
              <w:t>25</w:t>
            </w:r>
            <w:r w:rsidR="002E566C">
              <w:t>%</w:t>
            </w:r>
          </w:p>
        </w:tc>
        <w:tc>
          <w:tcPr>
            <w:tcW w:w="1504" w:type="dxa"/>
          </w:tcPr>
          <w:p w14:paraId="48F32CED" w14:textId="162D9BFF" w:rsidR="002E566C" w:rsidRDefault="00E128DC" w:rsidP="00A8411F">
            <w:pPr>
              <w:jc w:val="both"/>
            </w:pPr>
            <w:r>
              <w:t>3</w:t>
            </w:r>
            <w:r w:rsidR="002E566C">
              <w:t>%</w:t>
            </w:r>
          </w:p>
        </w:tc>
        <w:tc>
          <w:tcPr>
            <w:tcW w:w="1504" w:type="dxa"/>
            <w:shd w:val="clear" w:color="auto" w:fill="FFFFFF" w:themeFill="background1"/>
          </w:tcPr>
          <w:p w14:paraId="340F4961" w14:textId="477E08B4" w:rsidR="002E566C" w:rsidRDefault="00E128DC" w:rsidP="00A8411F">
            <w:pPr>
              <w:jc w:val="both"/>
            </w:pPr>
            <w:r>
              <w:t>6</w:t>
            </w:r>
            <w:r w:rsidR="002E566C">
              <w:t>%</w:t>
            </w:r>
          </w:p>
        </w:tc>
      </w:tr>
      <w:tr w:rsidR="00D52C27" w14:paraId="59F0DF4F" w14:textId="77777777" w:rsidTr="00304E60">
        <w:tc>
          <w:tcPr>
            <w:tcW w:w="1618" w:type="dxa"/>
          </w:tcPr>
          <w:p w14:paraId="7A7195AD" w14:textId="55FC347A" w:rsidR="00D52C27" w:rsidRDefault="00D52C27" w:rsidP="00D52C27">
            <w:pPr>
              <w:jc w:val="both"/>
            </w:pPr>
            <w:r>
              <w:t>Q25 (4.1.6b)</w:t>
            </w:r>
          </w:p>
        </w:tc>
        <w:tc>
          <w:tcPr>
            <w:tcW w:w="1384" w:type="dxa"/>
          </w:tcPr>
          <w:p w14:paraId="7287FD43" w14:textId="25EEC462" w:rsidR="00D52C27" w:rsidRDefault="00D52C27" w:rsidP="00D52C27">
            <w:pPr>
              <w:jc w:val="both"/>
            </w:pPr>
            <w:r>
              <w:t>17%</w:t>
            </w:r>
          </w:p>
        </w:tc>
        <w:tc>
          <w:tcPr>
            <w:tcW w:w="1503" w:type="dxa"/>
            <w:shd w:val="clear" w:color="auto" w:fill="FABF8F" w:themeFill="accent6" w:themeFillTint="99"/>
          </w:tcPr>
          <w:p w14:paraId="660BF770" w14:textId="15FC82E3" w:rsidR="00D52C27" w:rsidRDefault="00D52C27" w:rsidP="00D52C27">
            <w:pPr>
              <w:jc w:val="both"/>
            </w:pPr>
            <w:r>
              <w:t>42%</w:t>
            </w:r>
          </w:p>
        </w:tc>
        <w:tc>
          <w:tcPr>
            <w:tcW w:w="1503" w:type="dxa"/>
            <w:shd w:val="clear" w:color="auto" w:fill="FFFF99"/>
          </w:tcPr>
          <w:p w14:paraId="74206684" w14:textId="1AF6750A" w:rsidR="00D52C27" w:rsidRDefault="00D52C27" w:rsidP="00D52C27">
            <w:pPr>
              <w:jc w:val="both"/>
            </w:pPr>
            <w:r>
              <w:t>36%</w:t>
            </w:r>
          </w:p>
        </w:tc>
        <w:tc>
          <w:tcPr>
            <w:tcW w:w="1504" w:type="dxa"/>
          </w:tcPr>
          <w:p w14:paraId="1A09C633" w14:textId="2AB5B455" w:rsidR="00D52C27" w:rsidRDefault="00D52C27" w:rsidP="00D52C27">
            <w:pPr>
              <w:jc w:val="both"/>
            </w:pPr>
            <w:r>
              <w:t>0%</w:t>
            </w:r>
          </w:p>
        </w:tc>
        <w:tc>
          <w:tcPr>
            <w:tcW w:w="1504" w:type="dxa"/>
            <w:shd w:val="clear" w:color="auto" w:fill="FFFFFF" w:themeFill="background1"/>
          </w:tcPr>
          <w:p w14:paraId="040549E7" w14:textId="48903A7D" w:rsidR="00D52C27" w:rsidRDefault="00D52C27" w:rsidP="00D52C27">
            <w:pPr>
              <w:jc w:val="both"/>
            </w:pPr>
            <w:r>
              <w:t>6%</w:t>
            </w:r>
          </w:p>
        </w:tc>
      </w:tr>
    </w:tbl>
    <w:p w14:paraId="60AC4079" w14:textId="0BD06C09" w:rsidR="002E566C" w:rsidRDefault="002E566C" w:rsidP="002E566C">
      <w:pPr>
        <w:jc w:val="both"/>
        <w:rPr>
          <w:i/>
          <w:sz w:val="18"/>
          <w:szCs w:val="18"/>
        </w:rPr>
      </w:pPr>
      <w:r w:rsidRPr="000A31D7">
        <w:rPr>
          <w:i/>
          <w:sz w:val="18"/>
          <w:szCs w:val="18"/>
        </w:rPr>
        <w:t xml:space="preserve">Figures are rounded to the nearest </w:t>
      </w:r>
      <w:r w:rsidR="00790D34" w:rsidRPr="000A31D7">
        <w:rPr>
          <w:i/>
          <w:sz w:val="18"/>
          <w:szCs w:val="18"/>
        </w:rPr>
        <w:t>percentage point</w:t>
      </w:r>
      <w:r w:rsidRPr="000A31D7">
        <w:rPr>
          <w:i/>
          <w:sz w:val="18"/>
          <w:szCs w:val="18"/>
        </w:rPr>
        <w:t xml:space="preserve"> and therefore may not sum to 100.</w:t>
      </w:r>
    </w:p>
    <w:p w14:paraId="66C1DF8C" w14:textId="50AC387B" w:rsidR="00734B55" w:rsidRDefault="00447309" w:rsidP="00242EC8">
      <w:pPr>
        <w:ind w:left="993" w:hanging="633"/>
        <w:jc w:val="both"/>
        <w:rPr>
          <w:rStyle w:val="SubtleEmphasis"/>
        </w:rPr>
      </w:pPr>
      <w:r w:rsidRPr="00242EC8">
        <w:rPr>
          <w:rStyle w:val="SubtleEmphasis"/>
        </w:rPr>
        <w:t>4.1.1:</w:t>
      </w:r>
      <w:r w:rsidRPr="00242EC8">
        <w:rPr>
          <w:rStyle w:val="SubtleEmphasis"/>
        </w:rPr>
        <w:tab/>
      </w:r>
      <w:r w:rsidR="00734B55" w:rsidRPr="00734B55">
        <w:rPr>
          <w:rStyle w:val="SubtleEmphasis"/>
        </w:rPr>
        <w:t>The department has clearly communicated values and expectations of the behaviour of individuals to each other (staff and students).</w:t>
      </w:r>
      <w:r w:rsidR="00734B55">
        <w:rPr>
          <w:rStyle w:val="SubtleEmphasis"/>
        </w:rPr>
        <w:t xml:space="preserve"> </w:t>
      </w:r>
      <w:r w:rsidR="00734B55" w:rsidRPr="00734B55">
        <w:rPr>
          <w:rStyle w:val="SubtleEmphasis"/>
          <w:b/>
        </w:rPr>
        <w:t>(This is better)</w:t>
      </w:r>
    </w:p>
    <w:p w14:paraId="51C3D60E" w14:textId="4FA93541" w:rsidR="00447309" w:rsidRPr="00242EC8" w:rsidRDefault="00447309" w:rsidP="00242EC8">
      <w:pPr>
        <w:ind w:left="993" w:hanging="633"/>
        <w:jc w:val="both"/>
        <w:rPr>
          <w:rStyle w:val="SubtleEmphasis"/>
        </w:rPr>
      </w:pPr>
      <w:r w:rsidRPr="00242EC8">
        <w:rPr>
          <w:rStyle w:val="SubtleEmphasis"/>
        </w:rPr>
        <w:t>4.1.2:</w:t>
      </w:r>
      <w:r w:rsidRPr="00242EC8">
        <w:rPr>
          <w:rStyle w:val="SubtleEmphasis"/>
        </w:rPr>
        <w:tab/>
      </w:r>
      <w:r w:rsidR="00734B55" w:rsidRPr="00734B55">
        <w:rPr>
          <w:rStyle w:val="SubtleEmphasis"/>
        </w:rPr>
        <w:t>The department ensures that all staff undertake equity and diversity training and/or unconscious bias training, as part of their induction or their career development.</w:t>
      </w:r>
      <w:r w:rsidR="00734B55">
        <w:rPr>
          <w:rStyle w:val="SubtleEmphasis"/>
        </w:rPr>
        <w:t xml:space="preserve"> </w:t>
      </w:r>
      <w:r w:rsidR="00734B55" w:rsidRPr="00734B55">
        <w:rPr>
          <w:rStyle w:val="SubtleEmphasis"/>
          <w:b/>
        </w:rPr>
        <w:t>(slightly better)</w:t>
      </w:r>
    </w:p>
    <w:p w14:paraId="296CE5F1" w14:textId="6878C702" w:rsidR="00734B55" w:rsidRPr="00E128DC" w:rsidRDefault="00447309" w:rsidP="00242EC8">
      <w:pPr>
        <w:ind w:left="993" w:hanging="633"/>
        <w:jc w:val="both"/>
        <w:rPr>
          <w:rStyle w:val="SubtleEmphasis"/>
          <w:b/>
        </w:rPr>
      </w:pPr>
      <w:r w:rsidRPr="00242EC8">
        <w:rPr>
          <w:rStyle w:val="SubtleEmphasis"/>
        </w:rPr>
        <w:t>4.1.3</w:t>
      </w:r>
      <w:r w:rsidR="00E128DC">
        <w:rPr>
          <w:rStyle w:val="SubtleEmphasis"/>
        </w:rPr>
        <w:t>a</w:t>
      </w:r>
      <w:r w:rsidRPr="00242EC8">
        <w:rPr>
          <w:rStyle w:val="SubtleEmphasis"/>
        </w:rPr>
        <w:t>:</w:t>
      </w:r>
      <w:r w:rsidRPr="00242EC8">
        <w:rPr>
          <w:rStyle w:val="SubtleEmphasis"/>
        </w:rPr>
        <w:tab/>
      </w:r>
      <w:r w:rsidR="00734B55" w:rsidRPr="00734B55">
        <w:rPr>
          <w:rStyle w:val="SubtleEmphasis"/>
        </w:rPr>
        <w:t>Social activities are encouraged and involve all staff (including part-time and non-academic staff as well as staff on sabbaticals, career breaks, long-term sick leave and maternity leave).</w:t>
      </w:r>
      <w:r w:rsidR="00E128DC">
        <w:rPr>
          <w:rStyle w:val="SubtleEmphasis"/>
        </w:rPr>
        <w:t xml:space="preserve"> </w:t>
      </w:r>
      <w:r w:rsidR="00E128DC">
        <w:rPr>
          <w:rStyle w:val="SubtleEmphasis"/>
          <w:b/>
        </w:rPr>
        <w:t>(Slightly better)</w:t>
      </w:r>
    </w:p>
    <w:p w14:paraId="5F1DB93A" w14:textId="4A0957EB" w:rsidR="00447309" w:rsidRPr="00242EC8" w:rsidRDefault="00E128DC" w:rsidP="00242EC8">
      <w:pPr>
        <w:ind w:left="993" w:hanging="633"/>
        <w:jc w:val="both"/>
        <w:rPr>
          <w:rStyle w:val="SubtleEmphasis"/>
        </w:rPr>
      </w:pPr>
      <w:r>
        <w:rPr>
          <w:rStyle w:val="SubtleEmphasis"/>
        </w:rPr>
        <w:lastRenderedPageBreak/>
        <w:t>4.1.3b:</w:t>
      </w:r>
      <w:r>
        <w:rPr>
          <w:rStyle w:val="SubtleEmphasis"/>
        </w:rPr>
        <w:tab/>
      </w:r>
      <w:r w:rsidRPr="00E128DC">
        <w:rPr>
          <w:rStyle w:val="SubtleEmphasis"/>
        </w:rPr>
        <w:t>All staff are encouraged and supported to network at faculty, university, regional and national levels.</w:t>
      </w:r>
    </w:p>
    <w:p w14:paraId="1CBDC7A1" w14:textId="659D1137" w:rsidR="00447309" w:rsidRPr="00242EC8" w:rsidRDefault="00447309" w:rsidP="00242EC8">
      <w:pPr>
        <w:ind w:left="993" w:hanging="633"/>
        <w:jc w:val="both"/>
        <w:rPr>
          <w:rStyle w:val="SubtleEmphasis"/>
        </w:rPr>
      </w:pPr>
      <w:r w:rsidRPr="00242EC8">
        <w:rPr>
          <w:rStyle w:val="SubtleEmphasis"/>
        </w:rPr>
        <w:t>4.1.4:</w:t>
      </w:r>
      <w:r w:rsidRPr="00242EC8">
        <w:rPr>
          <w:rStyle w:val="SubtleEmphasis"/>
        </w:rPr>
        <w:tab/>
        <w:t>The departmental image (publicity, photographs, newsletters, job particulars, and prospectus) reflects the contribution of women and under-represented groups.</w:t>
      </w:r>
    </w:p>
    <w:p w14:paraId="1BFCD555" w14:textId="2F6C6795" w:rsidR="00E128DC" w:rsidRDefault="00447309" w:rsidP="00242EC8">
      <w:pPr>
        <w:ind w:left="993" w:hanging="633"/>
        <w:jc w:val="both"/>
        <w:rPr>
          <w:rStyle w:val="SubtleEmphasis"/>
        </w:rPr>
      </w:pPr>
      <w:r w:rsidRPr="00242EC8">
        <w:rPr>
          <w:rStyle w:val="SubtleEmphasis"/>
        </w:rPr>
        <w:t>4.1.5</w:t>
      </w:r>
      <w:r w:rsidR="00E128DC">
        <w:rPr>
          <w:rStyle w:val="SubtleEmphasis"/>
        </w:rPr>
        <w:t>a</w:t>
      </w:r>
      <w:r w:rsidRPr="00242EC8">
        <w:rPr>
          <w:rStyle w:val="SubtleEmphasis"/>
        </w:rPr>
        <w:t>:</w:t>
      </w:r>
      <w:r w:rsidRPr="00242EC8">
        <w:rPr>
          <w:rStyle w:val="SubtleEmphasis"/>
        </w:rPr>
        <w:tab/>
      </w:r>
      <w:r w:rsidR="00E128DC" w:rsidRPr="00E128DC">
        <w:rPr>
          <w:rStyle w:val="SubtleEmphasis"/>
        </w:rPr>
        <w:t>Women and under-represented groups are encouraged to raise their profile internally, e.g. by contributing to departmental research seminars and presenting to research sponsors.</w:t>
      </w:r>
    </w:p>
    <w:p w14:paraId="5E297CBE" w14:textId="1FC6F9DD" w:rsidR="00E128DC" w:rsidRDefault="00E128DC" w:rsidP="00242EC8">
      <w:pPr>
        <w:ind w:left="993" w:hanging="633"/>
        <w:jc w:val="both"/>
        <w:rPr>
          <w:rStyle w:val="SubtleEmphasis"/>
        </w:rPr>
      </w:pPr>
      <w:r>
        <w:rPr>
          <w:rStyle w:val="SubtleEmphasis"/>
        </w:rPr>
        <w:t>4.1.5b:</w:t>
      </w:r>
      <w:r>
        <w:rPr>
          <w:rStyle w:val="SubtleEmphasis"/>
        </w:rPr>
        <w:tab/>
      </w:r>
      <w:r w:rsidRPr="00E128DC">
        <w:rPr>
          <w:rStyle w:val="SubtleEmphasis"/>
        </w:rPr>
        <w:t>Junior staff, including post docs, are encouraged to raise their profile internally, e.g. by contributing to departmental research seminars and presenting to research sponsors.</w:t>
      </w:r>
    </w:p>
    <w:p w14:paraId="38F8CB3B" w14:textId="26338F58" w:rsidR="00E128DC" w:rsidRDefault="00242EC8" w:rsidP="00242EC8">
      <w:pPr>
        <w:ind w:left="993" w:hanging="633"/>
        <w:jc w:val="both"/>
        <w:rPr>
          <w:rStyle w:val="SubtleEmphasis"/>
          <w:b/>
        </w:rPr>
      </w:pPr>
      <w:r w:rsidRPr="00242EC8">
        <w:rPr>
          <w:rStyle w:val="SubtleEmphasis"/>
        </w:rPr>
        <w:t>4.1.6</w:t>
      </w:r>
      <w:r w:rsidR="00E128DC">
        <w:rPr>
          <w:rStyle w:val="SubtleEmphasis"/>
        </w:rPr>
        <w:t>a</w:t>
      </w:r>
      <w:r w:rsidRPr="00242EC8">
        <w:rPr>
          <w:rStyle w:val="SubtleEmphasis"/>
        </w:rPr>
        <w:t>:</w:t>
      </w:r>
      <w:r w:rsidRPr="00242EC8">
        <w:rPr>
          <w:rStyle w:val="SubtleEmphasis"/>
        </w:rPr>
        <w:tab/>
      </w:r>
      <w:r w:rsidR="00E128DC" w:rsidRPr="00E128DC">
        <w:rPr>
          <w:rStyle w:val="SubtleEmphasis"/>
        </w:rPr>
        <w:t>The gender of speakers at departmental seminar programmes and other similar events is monitored and reported on.</w:t>
      </w:r>
      <w:r w:rsidR="00E128DC">
        <w:rPr>
          <w:rStyle w:val="SubtleEmphasis"/>
        </w:rPr>
        <w:t xml:space="preserve"> </w:t>
      </w:r>
      <w:r w:rsidR="00E128DC" w:rsidRPr="00E128DC">
        <w:rPr>
          <w:rStyle w:val="SubtleEmphasis"/>
          <w:b/>
        </w:rPr>
        <w:t>(A lot better)</w:t>
      </w:r>
    </w:p>
    <w:p w14:paraId="6050FF6D" w14:textId="17D3FDB8" w:rsidR="00E128DC" w:rsidRPr="00E128DC" w:rsidRDefault="00E128DC" w:rsidP="00E128DC">
      <w:pPr>
        <w:ind w:left="993" w:hanging="633"/>
        <w:jc w:val="both"/>
        <w:rPr>
          <w:i/>
          <w:iCs/>
          <w:color w:val="5A5A5A" w:themeColor="text1" w:themeTint="A5"/>
        </w:rPr>
      </w:pPr>
      <w:r w:rsidRPr="00E128DC">
        <w:rPr>
          <w:i/>
          <w:iCs/>
          <w:color w:val="5A5A5A" w:themeColor="text1" w:themeTint="A5"/>
        </w:rPr>
        <w:t>4.1.6</w:t>
      </w:r>
      <w:r>
        <w:rPr>
          <w:i/>
          <w:iCs/>
          <w:color w:val="5A5A5A" w:themeColor="text1" w:themeTint="A5"/>
        </w:rPr>
        <w:t>b</w:t>
      </w:r>
      <w:r w:rsidRPr="00E128DC">
        <w:rPr>
          <w:i/>
          <w:iCs/>
          <w:color w:val="5A5A5A" w:themeColor="text1" w:themeTint="A5"/>
        </w:rPr>
        <w:t>:</w:t>
      </w:r>
      <w:r w:rsidRPr="00E128DC">
        <w:rPr>
          <w:i/>
          <w:iCs/>
          <w:color w:val="5A5A5A" w:themeColor="text1" w:themeTint="A5"/>
        </w:rPr>
        <w:tab/>
        <w:t>The department aims to ensure that speakers from under-represented groups are actively sought as part of the departmental seminar programmes and similar events.</w:t>
      </w:r>
      <w:r w:rsidR="00D52C27">
        <w:rPr>
          <w:i/>
          <w:iCs/>
          <w:color w:val="5A5A5A" w:themeColor="text1" w:themeTint="A5"/>
        </w:rPr>
        <w:t xml:space="preserve"> </w:t>
      </w:r>
      <w:r w:rsidR="00D52C27" w:rsidRPr="00D52C27">
        <w:rPr>
          <w:b/>
          <w:i/>
          <w:iCs/>
          <w:color w:val="5A5A5A" w:themeColor="text1" w:themeTint="A5"/>
        </w:rPr>
        <w:t>(A lot better)</w:t>
      </w:r>
    </w:p>
    <w:p w14:paraId="4B325F16" w14:textId="77777777" w:rsidR="002E566C" w:rsidRPr="00E25EA5" w:rsidRDefault="002E566C" w:rsidP="008C5954">
      <w:pPr>
        <w:pStyle w:val="Heading3"/>
      </w:pPr>
      <w:bookmarkStart w:id="13" w:name="_Toc329540731"/>
      <w:r w:rsidRPr="00D9039D">
        <w:rPr>
          <w:b/>
        </w:rPr>
        <w:t>4.2</w:t>
      </w:r>
      <w:r>
        <w:t xml:space="preserve"> Transpare</w:t>
      </w:r>
      <w:r w:rsidRPr="00E25EA5">
        <w:t>nt workload allocation model</w:t>
      </w:r>
      <w:bookmarkEnd w:id="13"/>
    </w:p>
    <w:p w14:paraId="6676B5DE" w14:textId="382C3373" w:rsidR="002E566C" w:rsidRDefault="002E566C" w:rsidP="002E566C">
      <w:pPr>
        <w:jc w:val="both"/>
      </w:pPr>
      <w:r>
        <w:t>Quantitative re</w:t>
      </w:r>
      <w:r w:rsidR="00EB1D74">
        <w:t>sults were generally high (A-C). As in the previous 2015 survey,</w:t>
      </w:r>
      <w:r>
        <w:t xml:space="preserve"> comments suggest a view that while the teaching allocation is transparent, other work such as </w:t>
      </w:r>
      <w:r w:rsidR="00790D34">
        <w:t>service</w:t>
      </w:r>
      <w:r>
        <w:t xml:space="preserve"> and mentoring is not so well accounted for. </w:t>
      </w:r>
      <w:r w:rsidR="00EB1D74">
        <w:t xml:space="preserve">Some comments also indicated that </w:t>
      </w:r>
      <w:bookmarkStart w:id="14" w:name="_GoBack"/>
      <w:bookmarkEnd w:id="14"/>
    </w:p>
    <w:p w14:paraId="6584410D" w14:textId="77777777" w:rsidR="00C046A3" w:rsidRDefault="00C046A3" w:rsidP="002E566C">
      <w:pPr>
        <w:jc w:val="both"/>
      </w:pPr>
    </w:p>
    <w:tbl>
      <w:tblPr>
        <w:tblW w:w="5000" w:type="pct"/>
        <w:tblBorders>
          <w:insideH w:val="single" w:sz="2" w:space="1" w:color="CCCCCC"/>
          <w:insideV w:val="single" w:sz="4" w:space="0" w:color="CCCCCC"/>
        </w:tblBorders>
        <w:tblLook w:val="04A0" w:firstRow="1" w:lastRow="0" w:firstColumn="1" w:lastColumn="0" w:noHBand="0" w:noVBand="1"/>
      </w:tblPr>
      <w:tblGrid>
        <w:gridCol w:w="9026"/>
      </w:tblGrid>
      <w:tr w:rsidR="00C046A3" w14:paraId="5FD21898" w14:textId="77777777" w:rsidTr="00F52F8A">
        <w:trPr>
          <w:trHeight w:val="432"/>
        </w:trPr>
        <w:tc>
          <w:tcPr>
            <w:tcW w:w="0" w:type="auto"/>
            <w:vAlign w:val="center"/>
          </w:tcPr>
          <w:p w14:paraId="7B114006" w14:textId="77777777" w:rsidR="00C046A3" w:rsidRDefault="00C046A3" w:rsidP="00F52F8A">
            <w:r>
              <w:t>The departmental teaching allocation model is circulated to all staff, which is good. However, there is no discussion about how some of the numbers in that model are arrived at - some seem a little dubious and don't really match up with reality. The most recent also seemed to show a concerning lack of resourcing for equity work in the department.  It is not really clear how service work is covered by the workload allocation model. There looks to be large differences in how much of this people actually do and which tasks are rewarded.  There is no discussion about how tasks will be allocated and how those tasks might help people to gain experience, exposure, etc. It would be great to see discussions from mentoring (which doesn't happen) feed into discussions about workload allocation a roles and responsibilities.</w:t>
            </w:r>
          </w:p>
        </w:tc>
      </w:tr>
      <w:tr w:rsidR="00C046A3" w14:paraId="02AFCDD0" w14:textId="77777777" w:rsidTr="00F52F8A">
        <w:trPr>
          <w:trHeight w:val="432"/>
        </w:trPr>
        <w:tc>
          <w:tcPr>
            <w:tcW w:w="0" w:type="auto"/>
            <w:vAlign w:val="center"/>
          </w:tcPr>
          <w:p w14:paraId="1A066726" w14:textId="77777777" w:rsidR="00C046A3" w:rsidRDefault="00C046A3" w:rsidP="00F52F8A">
            <w:r>
              <w:t>Enough for compliance</w:t>
            </w:r>
          </w:p>
        </w:tc>
      </w:tr>
      <w:tr w:rsidR="00C046A3" w14:paraId="55489704" w14:textId="77777777" w:rsidTr="00F52F8A">
        <w:trPr>
          <w:trHeight w:val="432"/>
        </w:trPr>
        <w:tc>
          <w:tcPr>
            <w:tcW w:w="0" w:type="auto"/>
            <w:vAlign w:val="center"/>
          </w:tcPr>
          <w:p w14:paraId="2D775019" w14:textId="77777777" w:rsidR="00C046A3" w:rsidRDefault="00C046A3" w:rsidP="00F52F8A">
            <w:r>
              <w:t>There is still much to be done but my sense is that this has improved. Equity work is, still, mostly seen as a volunteer or professional staff activity, though.</w:t>
            </w:r>
          </w:p>
        </w:tc>
      </w:tr>
      <w:tr w:rsidR="00C046A3" w14:paraId="2461069A" w14:textId="77777777" w:rsidTr="00F52F8A">
        <w:trPr>
          <w:trHeight w:val="432"/>
        </w:trPr>
        <w:tc>
          <w:tcPr>
            <w:tcW w:w="0" w:type="auto"/>
            <w:vAlign w:val="center"/>
          </w:tcPr>
          <w:p w14:paraId="5CD64D51" w14:textId="77777777" w:rsidR="00C046A3" w:rsidRDefault="00C046A3" w:rsidP="00F52F8A">
            <w:r>
              <w:t>Transparent for teaching, nothing for service</w:t>
            </w:r>
          </w:p>
        </w:tc>
      </w:tr>
    </w:tbl>
    <w:p w14:paraId="7CFFC40E" w14:textId="77777777" w:rsidR="00C046A3" w:rsidRDefault="00C046A3" w:rsidP="002E566C">
      <w:pPr>
        <w:jc w:val="both"/>
      </w:pPr>
    </w:p>
    <w:p w14:paraId="1DC0801E" w14:textId="77777777" w:rsidR="00C046A3" w:rsidRDefault="00C046A3" w:rsidP="002E566C">
      <w:pPr>
        <w:jc w:val="both"/>
      </w:pPr>
    </w:p>
    <w:p w14:paraId="732BEE8C" w14:textId="77777777" w:rsidR="002E566C" w:rsidRPr="00FC43AD" w:rsidRDefault="002E566C" w:rsidP="002E566C">
      <w:pPr>
        <w:jc w:val="both"/>
        <w:rPr>
          <w:rStyle w:val="Emphasis"/>
        </w:rPr>
      </w:pPr>
      <w:r w:rsidRPr="00FC43AD">
        <w:rPr>
          <w:rStyle w:val="Emphasis"/>
        </w:rPr>
        <w:t>Quantitative summary:</w:t>
      </w:r>
    </w:p>
    <w:tbl>
      <w:tblPr>
        <w:tblStyle w:val="TableGrid"/>
        <w:tblW w:w="0" w:type="auto"/>
        <w:tblLook w:val="04A0" w:firstRow="1" w:lastRow="0" w:firstColumn="1" w:lastColumn="0" w:noHBand="0" w:noVBand="1"/>
      </w:tblPr>
      <w:tblGrid>
        <w:gridCol w:w="1618"/>
        <w:gridCol w:w="1384"/>
        <w:gridCol w:w="1503"/>
        <w:gridCol w:w="1503"/>
        <w:gridCol w:w="1504"/>
        <w:gridCol w:w="1504"/>
      </w:tblGrid>
      <w:tr w:rsidR="002E566C" w14:paraId="5BA345AE" w14:textId="77777777" w:rsidTr="00D52C27">
        <w:tc>
          <w:tcPr>
            <w:tcW w:w="1618" w:type="dxa"/>
          </w:tcPr>
          <w:p w14:paraId="776B5616" w14:textId="77777777" w:rsidR="002E566C" w:rsidRDefault="002E566C" w:rsidP="00A8411F">
            <w:pPr>
              <w:jc w:val="both"/>
            </w:pPr>
          </w:p>
        </w:tc>
        <w:tc>
          <w:tcPr>
            <w:tcW w:w="1384" w:type="dxa"/>
            <w:tcBorders>
              <w:bottom w:val="single" w:sz="4" w:space="0" w:color="auto"/>
            </w:tcBorders>
          </w:tcPr>
          <w:p w14:paraId="6BD2731D" w14:textId="77777777" w:rsidR="002E566C" w:rsidRDefault="002E566C" w:rsidP="00A8411F">
            <w:pPr>
              <w:jc w:val="both"/>
            </w:pPr>
            <w:r>
              <w:t>A</w:t>
            </w:r>
          </w:p>
        </w:tc>
        <w:tc>
          <w:tcPr>
            <w:tcW w:w="1503" w:type="dxa"/>
          </w:tcPr>
          <w:p w14:paraId="039719BF" w14:textId="77777777" w:rsidR="002E566C" w:rsidRDefault="002E566C" w:rsidP="00A8411F">
            <w:pPr>
              <w:jc w:val="both"/>
            </w:pPr>
            <w:r>
              <w:t>B</w:t>
            </w:r>
          </w:p>
        </w:tc>
        <w:tc>
          <w:tcPr>
            <w:tcW w:w="1503" w:type="dxa"/>
            <w:tcBorders>
              <w:bottom w:val="single" w:sz="4" w:space="0" w:color="auto"/>
            </w:tcBorders>
          </w:tcPr>
          <w:p w14:paraId="56C371C0" w14:textId="77777777" w:rsidR="002E566C" w:rsidRDefault="002E566C" w:rsidP="00A8411F">
            <w:pPr>
              <w:jc w:val="both"/>
            </w:pPr>
            <w:r>
              <w:t>C</w:t>
            </w:r>
          </w:p>
        </w:tc>
        <w:tc>
          <w:tcPr>
            <w:tcW w:w="1504" w:type="dxa"/>
            <w:tcBorders>
              <w:bottom w:val="single" w:sz="4" w:space="0" w:color="auto"/>
            </w:tcBorders>
          </w:tcPr>
          <w:p w14:paraId="22EFC9E3" w14:textId="77777777" w:rsidR="002E566C" w:rsidRDefault="002E566C" w:rsidP="00A8411F">
            <w:pPr>
              <w:jc w:val="both"/>
            </w:pPr>
            <w:r>
              <w:t>D</w:t>
            </w:r>
          </w:p>
        </w:tc>
        <w:tc>
          <w:tcPr>
            <w:tcW w:w="1504" w:type="dxa"/>
          </w:tcPr>
          <w:p w14:paraId="6420DBF6" w14:textId="77777777" w:rsidR="002E566C" w:rsidRDefault="002E566C" w:rsidP="00A8411F">
            <w:pPr>
              <w:jc w:val="both"/>
            </w:pPr>
            <w:r>
              <w:t>E</w:t>
            </w:r>
          </w:p>
        </w:tc>
      </w:tr>
      <w:tr w:rsidR="002E566C" w14:paraId="4B11904B" w14:textId="77777777" w:rsidTr="00304E60">
        <w:tc>
          <w:tcPr>
            <w:tcW w:w="1618" w:type="dxa"/>
          </w:tcPr>
          <w:p w14:paraId="21B511D5" w14:textId="77777777" w:rsidR="002E566C" w:rsidRDefault="002E566C" w:rsidP="00A8411F">
            <w:pPr>
              <w:jc w:val="both"/>
            </w:pPr>
            <w:r>
              <w:t>Q26 (4.2.1)</w:t>
            </w:r>
          </w:p>
        </w:tc>
        <w:tc>
          <w:tcPr>
            <w:tcW w:w="1384" w:type="dxa"/>
            <w:tcBorders>
              <w:bottom w:val="single" w:sz="4" w:space="0" w:color="auto"/>
            </w:tcBorders>
            <w:shd w:val="clear" w:color="auto" w:fill="FFFF99"/>
          </w:tcPr>
          <w:p w14:paraId="3A79E841" w14:textId="062EF3C6" w:rsidR="002E566C" w:rsidRDefault="00D52C27" w:rsidP="00A8411F">
            <w:pPr>
              <w:jc w:val="both"/>
            </w:pPr>
            <w:r>
              <w:t>23</w:t>
            </w:r>
            <w:r w:rsidR="002E566C">
              <w:t>%</w:t>
            </w:r>
          </w:p>
        </w:tc>
        <w:tc>
          <w:tcPr>
            <w:tcW w:w="1503" w:type="dxa"/>
            <w:tcBorders>
              <w:bottom w:val="single" w:sz="4" w:space="0" w:color="auto"/>
            </w:tcBorders>
            <w:shd w:val="clear" w:color="auto" w:fill="FFFF99"/>
          </w:tcPr>
          <w:p w14:paraId="71CFD137" w14:textId="3B355183" w:rsidR="002E566C" w:rsidRDefault="00D52C27" w:rsidP="00D52C27">
            <w:pPr>
              <w:jc w:val="both"/>
            </w:pPr>
            <w:r>
              <w:t>31</w:t>
            </w:r>
            <w:r w:rsidR="002E566C">
              <w:t>%</w:t>
            </w:r>
          </w:p>
        </w:tc>
        <w:tc>
          <w:tcPr>
            <w:tcW w:w="1503" w:type="dxa"/>
            <w:tcBorders>
              <w:bottom w:val="single" w:sz="4" w:space="0" w:color="auto"/>
            </w:tcBorders>
            <w:shd w:val="clear" w:color="auto" w:fill="FFFF99"/>
          </w:tcPr>
          <w:p w14:paraId="4C9A0F62" w14:textId="0D26C00E" w:rsidR="002E566C" w:rsidRDefault="002E566C" w:rsidP="00A8411F">
            <w:pPr>
              <w:jc w:val="both"/>
            </w:pPr>
            <w:r>
              <w:t>2</w:t>
            </w:r>
            <w:r w:rsidR="00D52C27">
              <w:t>6</w:t>
            </w:r>
            <w:r>
              <w:t>%</w:t>
            </w:r>
          </w:p>
        </w:tc>
        <w:tc>
          <w:tcPr>
            <w:tcW w:w="1504" w:type="dxa"/>
            <w:shd w:val="clear" w:color="auto" w:fill="FFFFFF" w:themeFill="background1"/>
          </w:tcPr>
          <w:p w14:paraId="4D4D0BBA" w14:textId="523EF33E" w:rsidR="002E566C" w:rsidRDefault="00D52C27" w:rsidP="00A8411F">
            <w:pPr>
              <w:jc w:val="both"/>
            </w:pPr>
            <w:r>
              <w:t>11</w:t>
            </w:r>
            <w:r w:rsidR="002E566C">
              <w:t>%</w:t>
            </w:r>
          </w:p>
        </w:tc>
        <w:tc>
          <w:tcPr>
            <w:tcW w:w="1504" w:type="dxa"/>
          </w:tcPr>
          <w:p w14:paraId="1FC7B258" w14:textId="13D63188" w:rsidR="002E566C" w:rsidRDefault="00D52C27" w:rsidP="00A8411F">
            <w:pPr>
              <w:jc w:val="both"/>
            </w:pPr>
            <w:r>
              <w:t>9</w:t>
            </w:r>
            <w:r w:rsidR="002E566C">
              <w:t>%</w:t>
            </w:r>
          </w:p>
        </w:tc>
      </w:tr>
      <w:tr w:rsidR="002E566C" w14:paraId="6F884BFC" w14:textId="77777777" w:rsidTr="00304E60">
        <w:tc>
          <w:tcPr>
            <w:tcW w:w="1618" w:type="dxa"/>
          </w:tcPr>
          <w:p w14:paraId="7BD95B2B" w14:textId="405EF1C1" w:rsidR="002E566C" w:rsidRDefault="002E566C" w:rsidP="00A8411F">
            <w:pPr>
              <w:jc w:val="both"/>
            </w:pPr>
            <w:r>
              <w:t>Q27 (4.2.2</w:t>
            </w:r>
            <w:r w:rsidR="00D52C27">
              <w:t>a</w:t>
            </w:r>
            <w:r>
              <w:t>)</w:t>
            </w:r>
          </w:p>
        </w:tc>
        <w:tc>
          <w:tcPr>
            <w:tcW w:w="1384" w:type="dxa"/>
            <w:shd w:val="clear" w:color="auto" w:fill="FFFFFF" w:themeFill="background1"/>
          </w:tcPr>
          <w:p w14:paraId="5C8B7D3A" w14:textId="75FF5D0F" w:rsidR="002E566C" w:rsidRDefault="00D52C27" w:rsidP="00A8411F">
            <w:pPr>
              <w:jc w:val="both"/>
            </w:pPr>
            <w:r>
              <w:t>3</w:t>
            </w:r>
            <w:r w:rsidR="002E566C">
              <w:t>%</w:t>
            </w:r>
          </w:p>
        </w:tc>
        <w:tc>
          <w:tcPr>
            <w:tcW w:w="1503" w:type="dxa"/>
            <w:shd w:val="clear" w:color="auto" w:fill="FFFF99"/>
          </w:tcPr>
          <w:p w14:paraId="6E4FF69B" w14:textId="3F8C8A85" w:rsidR="002E566C" w:rsidRDefault="00D52C27" w:rsidP="00A8411F">
            <w:pPr>
              <w:jc w:val="both"/>
            </w:pPr>
            <w:r>
              <w:t>34</w:t>
            </w:r>
            <w:r w:rsidR="002E566C">
              <w:t>%</w:t>
            </w:r>
          </w:p>
        </w:tc>
        <w:tc>
          <w:tcPr>
            <w:tcW w:w="1503" w:type="dxa"/>
            <w:shd w:val="clear" w:color="auto" w:fill="FABF8F" w:themeFill="accent6" w:themeFillTint="99"/>
          </w:tcPr>
          <w:p w14:paraId="0CB47EAA" w14:textId="7269E0BE" w:rsidR="002E566C" w:rsidRDefault="00D52C27" w:rsidP="00A8411F">
            <w:pPr>
              <w:jc w:val="both"/>
            </w:pPr>
            <w:r>
              <w:t>40</w:t>
            </w:r>
            <w:r w:rsidR="002E566C">
              <w:t>%</w:t>
            </w:r>
          </w:p>
        </w:tc>
        <w:tc>
          <w:tcPr>
            <w:tcW w:w="1504" w:type="dxa"/>
          </w:tcPr>
          <w:p w14:paraId="036BF808" w14:textId="3DA959C1" w:rsidR="002E566C" w:rsidRDefault="00D52C27" w:rsidP="00A8411F">
            <w:pPr>
              <w:jc w:val="both"/>
            </w:pPr>
            <w:r>
              <w:t>9</w:t>
            </w:r>
            <w:r w:rsidR="002E566C">
              <w:t>%</w:t>
            </w:r>
          </w:p>
        </w:tc>
        <w:tc>
          <w:tcPr>
            <w:tcW w:w="1504" w:type="dxa"/>
          </w:tcPr>
          <w:p w14:paraId="60170E31" w14:textId="05A96469" w:rsidR="002E566C" w:rsidRDefault="00D52C27" w:rsidP="00A8411F">
            <w:pPr>
              <w:jc w:val="both"/>
            </w:pPr>
            <w:r>
              <w:t>14</w:t>
            </w:r>
            <w:r w:rsidR="002E566C">
              <w:t>%</w:t>
            </w:r>
          </w:p>
        </w:tc>
      </w:tr>
      <w:tr w:rsidR="00D52C27" w14:paraId="50DA1D74" w14:textId="77777777" w:rsidTr="00304E60">
        <w:tc>
          <w:tcPr>
            <w:tcW w:w="1618" w:type="dxa"/>
          </w:tcPr>
          <w:p w14:paraId="781EC976" w14:textId="40CB06CA" w:rsidR="00D52C27" w:rsidRDefault="00D52C27" w:rsidP="00D52C27">
            <w:pPr>
              <w:jc w:val="both"/>
            </w:pPr>
            <w:r>
              <w:t>Q27 (4.2.2b)</w:t>
            </w:r>
          </w:p>
        </w:tc>
        <w:tc>
          <w:tcPr>
            <w:tcW w:w="1384" w:type="dxa"/>
            <w:shd w:val="clear" w:color="auto" w:fill="FFFF99"/>
          </w:tcPr>
          <w:p w14:paraId="5023A3A9" w14:textId="68099F86" w:rsidR="00D52C27" w:rsidRDefault="00D52C27" w:rsidP="00D52C27">
            <w:pPr>
              <w:jc w:val="both"/>
            </w:pPr>
            <w:r>
              <w:t>20%</w:t>
            </w:r>
          </w:p>
        </w:tc>
        <w:tc>
          <w:tcPr>
            <w:tcW w:w="1503" w:type="dxa"/>
            <w:shd w:val="clear" w:color="auto" w:fill="FFFF99"/>
          </w:tcPr>
          <w:p w14:paraId="024A648A" w14:textId="48F3B818" w:rsidR="00D52C27" w:rsidRDefault="00D52C27" w:rsidP="00D52C27">
            <w:pPr>
              <w:jc w:val="both"/>
            </w:pPr>
            <w:r>
              <w:t>31%</w:t>
            </w:r>
          </w:p>
        </w:tc>
        <w:tc>
          <w:tcPr>
            <w:tcW w:w="1503" w:type="dxa"/>
            <w:shd w:val="clear" w:color="auto" w:fill="FFFFFF" w:themeFill="background1"/>
          </w:tcPr>
          <w:p w14:paraId="7AFFA2F3" w14:textId="5F88BE21" w:rsidR="00D52C27" w:rsidRDefault="00D52C27" w:rsidP="00D52C27">
            <w:pPr>
              <w:jc w:val="both"/>
            </w:pPr>
            <w:r>
              <w:t>17%</w:t>
            </w:r>
          </w:p>
        </w:tc>
        <w:tc>
          <w:tcPr>
            <w:tcW w:w="1504" w:type="dxa"/>
            <w:shd w:val="clear" w:color="auto" w:fill="FFFF99"/>
          </w:tcPr>
          <w:p w14:paraId="3C1B338C" w14:textId="4DE9DDDE" w:rsidR="00D52C27" w:rsidRDefault="00D52C27" w:rsidP="00D52C27">
            <w:pPr>
              <w:jc w:val="both"/>
            </w:pPr>
            <w:r>
              <w:t>20%</w:t>
            </w:r>
          </w:p>
        </w:tc>
        <w:tc>
          <w:tcPr>
            <w:tcW w:w="1504" w:type="dxa"/>
          </w:tcPr>
          <w:p w14:paraId="7A956895" w14:textId="0BFF0DDE" w:rsidR="00D52C27" w:rsidRDefault="00D52C27" w:rsidP="00D52C27">
            <w:pPr>
              <w:jc w:val="both"/>
            </w:pPr>
            <w:r>
              <w:t>11%</w:t>
            </w:r>
          </w:p>
        </w:tc>
      </w:tr>
    </w:tbl>
    <w:p w14:paraId="7744ED90" w14:textId="55CD4EBD" w:rsidR="002E566C" w:rsidRDefault="002E566C" w:rsidP="002E566C">
      <w:pPr>
        <w:jc w:val="both"/>
        <w:rPr>
          <w:i/>
          <w:sz w:val="18"/>
          <w:szCs w:val="18"/>
        </w:rPr>
      </w:pPr>
      <w:r w:rsidRPr="000A31D7">
        <w:rPr>
          <w:i/>
          <w:sz w:val="18"/>
          <w:szCs w:val="18"/>
        </w:rPr>
        <w:t xml:space="preserve">Figures are rounded to the nearest </w:t>
      </w:r>
      <w:r w:rsidR="00790D34" w:rsidRPr="000A31D7">
        <w:rPr>
          <w:i/>
          <w:sz w:val="18"/>
          <w:szCs w:val="18"/>
        </w:rPr>
        <w:t>percentage point</w:t>
      </w:r>
      <w:r w:rsidRPr="000A31D7">
        <w:rPr>
          <w:i/>
          <w:sz w:val="18"/>
          <w:szCs w:val="18"/>
        </w:rPr>
        <w:t xml:space="preserve"> and therefore may not sum to 100.</w:t>
      </w:r>
    </w:p>
    <w:p w14:paraId="622680D8" w14:textId="4E7DBB01" w:rsidR="009B7F4C" w:rsidRPr="009B7F4C" w:rsidRDefault="009B7F4C" w:rsidP="009B7F4C">
      <w:pPr>
        <w:ind w:left="993" w:hanging="633"/>
        <w:jc w:val="both"/>
        <w:rPr>
          <w:rStyle w:val="SubtleEmphasis"/>
        </w:rPr>
      </w:pPr>
      <w:r w:rsidRPr="009B7F4C">
        <w:rPr>
          <w:rStyle w:val="SubtleEmphasis"/>
        </w:rPr>
        <w:t>4.2.1:</w:t>
      </w:r>
      <w:r w:rsidRPr="009B7F4C">
        <w:rPr>
          <w:rStyle w:val="SubtleEmphasis"/>
        </w:rPr>
        <w:tab/>
      </w:r>
      <w:r w:rsidR="00D52C27" w:rsidRPr="00D52C27">
        <w:rPr>
          <w:rStyle w:val="SubtleEmphasis"/>
        </w:rPr>
        <w:t>The department has fair and open systems for allocating workload (teaching, administration and research) and this is reviewed regularly. The department ensures that the systems are inclusive and fully recognises and rewards all types of contributions (including administration, mentoring, pastoral work and outreach).</w:t>
      </w:r>
    </w:p>
    <w:p w14:paraId="1D3B9196" w14:textId="28E04FB7" w:rsidR="009B7F4C" w:rsidRDefault="009B7F4C" w:rsidP="009B7F4C">
      <w:pPr>
        <w:ind w:left="993" w:hanging="633"/>
        <w:jc w:val="both"/>
        <w:rPr>
          <w:rStyle w:val="SubtleEmphasis"/>
        </w:rPr>
      </w:pPr>
      <w:r w:rsidRPr="009B7F4C">
        <w:rPr>
          <w:rStyle w:val="SubtleEmphasis"/>
        </w:rPr>
        <w:t>4.2.2</w:t>
      </w:r>
      <w:r w:rsidR="00D52C27">
        <w:rPr>
          <w:rStyle w:val="SubtleEmphasis"/>
        </w:rPr>
        <w:t>a</w:t>
      </w:r>
      <w:r w:rsidRPr="009B7F4C">
        <w:rPr>
          <w:rStyle w:val="SubtleEmphasis"/>
        </w:rPr>
        <w:t>:</w:t>
      </w:r>
      <w:r w:rsidRPr="009B7F4C">
        <w:rPr>
          <w:rStyle w:val="SubtleEmphasis"/>
        </w:rPr>
        <w:tab/>
      </w:r>
      <w:r w:rsidR="00D52C27" w:rsidRPr="00D52C27">
        <w:rPr>
          <w:rStyle w:val="SubtleEmphasis"/>
        </w:rPr>
        <w:t>Departmental roles and responsibilities, including committee memberships, are rotated for staff to gain experience / exposure.</w:t>
      </w:r>
    </w:p>
    <w:p w14:paraId="10550117" w14:textId="327680F3" w:rsidR="00D52C27" w:rsidRPr="00D52C27" w:rsidRDefault="00D52C27" w:rsidP="00D52C27">
      <w:pPr>
        <w:ind w:left="993" w:hanging="633"/>
        <w:jc w:val="both"/>
        <w:rPr>
          <w:i/>
          <w:iCs/>
          <w:color w:val="5A5A5A" w:themeColor="text1" w:themeTint="A5"/>
        </w:rPr>
      </w:pPr>
      <w:r>
        <w:rPr>
          <w:i/>
          <w:iCs/>
          <w:color w:val="5A5A5A" w:themeColor="text1" w:themeTint="A5"/>
        </w:rPr>
        <w:t>4.2.2b</w:t>
      </w:r>
      <w:r w:rsidRPr="00D52C27">
        <w:rPr>
          <w:i/>
          <w:iCs/>
          <w:color w:val="5A5A5A" w:themeColor="text1" w:themeTint="A5"/>
        </w:rPr>
        <w:t>:</w:t>
      </w:r>
      <w:r w:rsidRPr="00D52C27">
        <w:rPr>
          <w:i/>
          <w:iCs/>
          <w:color w:val="5A5A5A" w:themeColor="text1" w:themeTint="A5"/>
        </w:rPr>
        <w:tab/>
        <w:t>The department communicates the model it uses to determine the workload allocation to all staff.</w:t>
      </w:r>
    </w:p>
    <w:p w14:paraId="487BEB4E" w14:textId="77777777" w:rsidR="00D52C27" w:rsidRPr="009B7F4C" w:rsidRDefault="00D52C27" w:rsidP="009B7F4C">
      <w:pPr>
        <w:ind w:left="993" w:hanging="633"/>
        <w:jc w:val="both"/>
        <w:rPr>
          <w:rStyle w:val="SubtleEmphasis"/>
        </w:rPr>
      </w:pPr>
    </w:p>
    <w:p w14:paraId="785A53D3" w14:textId="77777777" w:rsidR="00520044" w:rsidRDefault="00520044" w:rsidP="00043DAA">
      <w:pPr>
        <w:pStyle w:val="Heading2"/>
        <w:sectPr w:rsidR="00520044" w:rsidSect="00520044">
          <w:pgSz w:w="11906" w:h="16838"/>
          <w:pgMar w:top="1440" w:right="1440" w:bottom="1440" w:left="1440" w:header="709" w:footer="709" w:gutter="0"/>
          <w:cols w:space="708"/>
          <w:docGrid w:linePitch="360"/>
        </w:sectPr>
      </w:pPr>
    </w:p>
    <w:p w14:paraId="6FC5E07B" w14:textId="0A8DAE09" w:rsidR="002E566C" w:rsidRPr="00043DAA" w:rsidRDefault="002E566C" w:rsidP="00043DAA">
      <w:pPr>
        <w:pStyle w:val="Heading2"/>
      </w:pPr>
      <w:bookmarkStart w:id="15" w:name="_Toc329540732"/>
      <w:r w:rsidRPr="008C5954">
        <w:rPr>
          <w:b/>
        </w:rPr>
        <w:lastRenderedPageBreak/>
        <w:t>Principle 5</w:t>
      </w:r>
      <w:r w:rsidRPr="00A13B42">
        <w:t xml:space="preserve">: Flexible approaches and provisions that enable individuals, at all career and life stages, to optimise their contribution to the department, their </w:t>
      </w:r>
      <w:r w:rsidR="00790D34" w:rsidRPr="00A13B42">
        <w:t>instit</w:t>
      </w:r>
      <w:r w:rsidR="00790D34">
        <w:t>ut</w:t>
      </w:r>
      <w:r w:rsidR="00790D34" w:rsidRPr="00A13B42">
        <w:t>ion</w:t>
      </w:r>
      <w:r w:rsidRPr="00A13B42">
        <w:t xml:space="preserve"> and to STEM.</w:t>
      </w:r>
      <w:bookmarkEnd w:id="15"/>
    </w:p>
    <w:p w14:paraId="1541B018" w14:textId="55EFD22E" w:rsidR="002E566C" w:rsidRPr="00A13B42" w:rsidRDefault="00D9039D" w:rsidP="00FC43AD">
      <w:pPr>
        <w:pStyle w:val="Heading3"/>
      </w:pPr>
      <w:bookmarkStart w:id="16" w:name="_Toc329540733"/>
      <w:r w:rsidRPr="00D9039D">
        <w:rPr>
          <w:b/>
        </w:rPr>
        <w:t>5.1</w:t>
      </w:r>
      <w:r w:rsidR="002E566C" w:rsidRPr="00A13B42">
        <w:t xml:space="preserve"> Support and promote flexible working practices</w:t>
      </w:r>
      <w:bookmarkEnd w:id="16"/>
    </w:p>
    <w:p w14:paraId="140D414B" w14:textId="5D48346E" w:rsidR="002E566C" w:rsidRDefault="002E566C" w:rsidP="002E566C">
      <w:pPr>
        <w:jc w:val="both"/>
      </w:pPr>
      <w:r>
        <w:t xml:space="preserve">Quantitative responses here were either broadly </w:t>
      </w:r>
      <w:r w:rsidR="00790D34">
        <w:t>distributed</w:t>
      </w:r>
      <w:r>
        <w:t xml:space="preserve"> (for questions about perception of supportive attitudes) or low (for questions about concrete actions like policy and monitoring). </w:t>
      </w:r>
    </w:p>
    <w:p w14:paraId="5B8E930A" w14:textId="0C6FE4E2" w:rsidR="002E566C" w:rsidRDefault="002E566C" w:rsidP="002E566C">
      <w:pPr>
        <w:jc w:val="both"/>
      </w:pPr>
      <w:r>
        <w:t xml:space="preserve">Comments indicated that people </w:t>
      </w:r>
      <w:r w:rsidR="00790D34">
        <w:t>perceive</w:t>
      </w:r>
      <w:r>
        <w:t xml:space="preserve"> that things have somewhat improved with regards to flexible working, but that this has happened more by accident than through any explicit effort or communicated practice. Comments also identified the lack of process and policy for offering and monitoring the uptake of flexible working, consideration for work-life balance, career breaks and maternity leave, parental and caring leave</w:t>
      </w:r>
      <w:r w:rsidR="00DD1329">
        <w:t>,</w:t>
      </w:r>
      <w:r>
        <w:t xml:space="preserve"> and sup</w:t>
      </w:r>
      <w:r w:rsidR="00DD1329">
        <w:t>port for getting people back up-to-</w:t>
      </w:r>
      <w:r>
        <w:t xml:space="preserve">speed after a career interruption. </w:t>
      </w:r>
    </w:p>
    <w:p w14:paraId="07ABDAB3" w14:textId="5DB2BE85" w:rsidR="002E566C" w:rsidRDefault="002E566C" w:rsidP="002E566C">
      <w:pPr>
        <w:jc w:val="both"/>
      </w:pPr>
      <w:r>
        <w:t xml:space="preserve">Several comments identified that there are individual </w:t>
      </w:r>
      <w:r w:rsidR="00DD1329">
        <w:t>cases</w:t>
      </w:r>
      <w:r>
        <w:t xml:space="preserve"> where </w:t>
      </w:r>
      <w:r w:rsidR="00032146">
        <w:t>some staff</w:t>
      </w:r>
      <w:r>
        <w:t xml:space="preserve"> appear to have negotiated their own flexible working arrangements – in particular </w:t>
      </w:r>
      <w:r w:rsidR="00032146">
        <w:t xml:space="preserve">it was remarked </w:t>
      </w:r>
      <w:r>
        <w:t xml:space="preserve">that senior staff </w:t>
      </w:r>
      <w:r w:rsidR="00032146">
        <w:t>demonstrate their own</w:t>
      </w:r>
      <w:r>
        <w:t xml:space="preserve"> flexible work arrangements. However, there is no clear indication that flexible working is supported or how arranging it might be approached. This is problematic as it disadvantages certain groups such as new staff or junior staff who are more </w:t>
      </w:r>
      <w:r w:rsidR="00790D34">
        <w:t>likely</w:t>
      </w:r>
      <w:r>
        <w:t xml:space="preserve"> to lack both support and information in negotiating flexible working arrangements. This is </w:t>
      </w:r>
      <w:r w:rsidR="00790D34">
        <w:t>exacerbated</w:t>
      </w:r>
      <w:r>
        <w:t xml:space="preserve"> by an apparent lack of documentation of </w:t>
      </w:r>
      <w:r w:rsidR="00790D34">
        <w:t xml:space="preserve">any </w:t>
      </w:r>
      <w:r w:rsidR="00032146">
        <w:t xml:space="preserve">existing </w:t>
      </w:r>
      <w:r w:rsidR="00790D34">
        <w:t>flexible</w:t>
      </w:r>
      <w:r>
        <w:t xml:space="preserve"> working arrangements.</w:t>
      </w:r>
    </w:p>
    <w:p w14:paraId="6453C69C" w14:textId="1B9E02B7" w:rsidR="002E566C" w:rsidRDefault="002E566C" w:rsidP="00032146">
      <w:pPr>
        <w:jc w:val="both"/>
      </w:pPr>
      <w:r>
        <w:t xml:space="preserve">Quantitative responses indicated a general positive perception of support and </w:t>
      </w:r>
      <w:r w:rsidR="00790D34">
        <w:t>understanding</w:t>
      </w:r>
      <w:r>
        <w:t xml:space="preserve"> from the department with regard to parental or caring leave, but were poor with regards to proactively managing career breaks such as maternity leave, including making allowances </w:t>
      </w:r>
      <w:r w:rsidR="00032146">
        <w:t>for those returning to get back up-to-</w:t>
      </w:r>
      <w:r>
        <w:t>speed.</w:t>
      </w:r>
    </w:p>
    <w:p w14:paraId="7E6E245F" w14:textId="77777777" w:rsidR="00C046A3" w:rsidRDefault="00C046A3" w:rsidP="00032146">
      <w:pPr>
        <w:jc w:val="both"/>
      </w:pPr>
    </w:p>
    <w:tbl>
      <w:tblPr>
        <w:tblW w:w="5000" w:type="pct"/>
        <w:tblBorders>
          <w:insideH w:val="single" w:sz="2" w:space="1" w:color="CCCCCC"/>
          <w:insideV w:val="single" w:sz="4" w:space="0" w:color="CCCCCC"/>
        </w:tblBorders>
        <w:tblLook w:val="04A0" w:firstRow="1" w:lastRow="0" w:firstColumn="1" w:lastColumn="0" w:noHBand="0" w:noVBand="1"/>
      </w:tblPr>
      <w:tblGrid>
        <w:gridCol w:w="9026"/>
      </w:tblGrid>
      <w:tr w:rsidR="00C046A3" w14:paraId="354A95E8" w14:textId="77777777" w:rsidTr="00F52F8A">
        <w:trPr>
          <w:trHeight w:val="432"/>
        </w:trPr>
        <w:tc>
          <w:tcPr>
            <w:tcW w:w="0" w:type="auto"/>
            <w:vAlign w:val="center"/>
          </w:tcPr>
          <w:p w14:paraId="45ED2253" w14:textId="77777777" w:rsidR="00C046A3" w:rsidRDefault="00C046A3" w:rsidP="00F52F8A">
            <w:r>
              <w:t xml:space="preserve">It is not clear that any of the above take place in the department. I suspect that it would be possible to negotiate many things with the current </w:t>
            </w:r>
            <w:proofErr w:type="spellStart"/>
            <w:r>
              <w:t>HoD</w:t>
            </w:r>
            <w:proofErr w:type="spellEnd"/>
            <w:r>
              <w:t xml:space="preserve"> if one was confident to and had the opportunity. Who know whether that will continue with a future </w:t>
            </w:r>
            <w:proofErr w:type="spellStart"/>
            <w:r>
              <w:t>HoD</w:t>
            </w:r>
            <w:proofErr w:type="spellEnd"/>
            <w:r>
              <w:t xml:space="preserve">, since I don't think anything is written down. Again, I think the department lets the university take a lead on these things, but don't go to any effort to operationalise </w:t>
            </w:r>
            <w:proofErr w:type="spellStart"/>
            <w:r>
              <w:t>UoA</w:t>
            </w:r>
            <w:proofErr w:type="spellEnd"/>
            <w:r>
              <w:t xml:space="preserve"> policies about flexible working within the </w:t>
            </w:r>
            <w:proofErr w:type="spellStart"/>
            <w:r>
              <w:t>dept</w:t>
            </w:r>
            <w:proofErr w:type="spellEnd"/>
            <w:r>
              <w:t>, or to improve on any of them.</w:t>
            </w:r>
          </w:p>
        </w:tc>
      </w:tr>
      <w:tr w:rsidR="00C046A3" w14:paraId="1AE139B2" w14:textId="77777777" w:rsidTr="00F52F8A">
        <w:trPr>
          <w:trHeight w:val="432"/>
        </w:trPr>
        <w:tc>
          <w:tcPr>
            <w:tcW w:w="0" w:type="auto"/>
            <w:vAlign w:val="center"/>
          </w:tcPr>
          <w:p w14:paraId="570FF971" w14:textId="77777777" w:rsidR="00C046A3" w:rsidRDefault="00C046A3" w:rsidP="00F52F8A">
            <w:r>
              <w:t>The head does provide leadership on this issue, in particular, and I have seen it reflected in teaching and meeting schedules.</w:t>
            </w:r>
          </w:p>
        </w:tc>
      </w:tr>
    </w:tbl>
    <w:p w14:paraId="62765030" w14:textId="77777777" w:rsidR="00C046A3" w:rsidRDefault="00C046A3" w:rsidP="00032146">
      <w:pPr>
        <w:jc w:val="both"/>
      </w:pPr>
    </w:p>
    <w:p w14:paraId="6FEF2F0E" w14:textId="77777777" w:rsidR="00C046A3" w:rsidRDefault="00C046A3" w:rsidP="00032146">
      <w:pPr>
        <w:jc w:val="both"/>
      </w:pPr>
    </w:p>
    <w:p w14:paraId="7CF72CEE" w14:textId="77777777" w:rsidR="002E566C" w:rsidRPr="00FC43AD" w:rsidRDefault="002E566C" w:rsidP="002E566C">
      <w:pPr>
        <w:jc w:val="both"/>
        <w:rPr>
          <w:rStyle w:val="Emphasis"/>
        </w:rPr>
      </w:pPr>
      <w:r w:rsidRPr="00FC43AD">
        <w:rPr>
          <w:rStyle w:val="Emphasis"/>
        </w:rPr>
        <w:t>Quantitative summary:</w:t>
      </w:r>
    </w:p>
    <w:tbl>
      <w:tblPr>
        <w:tblStyle w:val="TableGrid"/>
        <w:tblW w:w="0" w:type="auto"/>
        <w:tblLook w:val="04A0" w:firstRow="1" w:lastRow="0" w:firstColumn="1" w:lastColumn="0" w:noHBand="0" w:noVBand="1"/>
      </w:tblPr>
      <w:tblGrid>
        <w:gridCol w:w="1618"/>
        <w:gridCol w:w="1384"/>
        <w:gridCol w:w="1503"/>
        <w:gridCol w:w="1503"/>
        <w:gridCol w:w="1504"/>
        <w:gridCol w:w="1504"/>
      </w:tblGrid>
      <w:tr w:rsidR="002E566C" w14:paraId="313A0A86" w14:textId="77777777" w:rsidTr="00D52C27">
        <w:tc>
          <w:tcPr>
            <w:tcW w:w="1618" w:type="dxa"/>
          </w:tcPr>
          <w:p w14:paraId="318393A2" w14:textId="77777777" w:rsidR="002E566C" w:rsidRDefault="002E566C" w:rsidP="00A8411F">
            <w:pPr>
              <w:jc w:val="both"/>
            </w:pPr>
          </w:p>
        </w:tc>
        <w:tc>
          <w:tcPr>
            <w:tcW w:w="1384" w:type="dxa"/>
          </w:tcPr>
          <w:p w14:paraId="1FC37A5B" w14:textId="77777777" w:rsidR="002E566C" w:rsidRDefault="002E566C" w:rsidP="00A8411F">
            <w:pPr>
              <w:jc w:val="both"/>
            </w:pPr>
            <w:r>
              <w:t>A</w:t>
            </w:r>
          </w:p>
        </w:tc>
        <w:tc>
          <w:tcPr>
            <w:tcW w:w="1503" w:type="dxa"/>
          </w:tcPr>
          <w:p w14:paraId="2939B9FF" w14:textId="77777777" w:rsidR="002E566C" w:rsidRDefault="002E566C" w:rsidP="00A8411F">
            <w:pPr>
              <w:jc w:val="both"/>
            </w:pPr>
            <w:r>
              <w:t>B</w:t>
            </w:r>
          </w:p>
        </w:tc>
        <w:tc>
          <w:tcPr>
            <w:tcW w:w="1503" w:type="dxa"/>
            <w:tcBorders>
              <w:bottom w:val="single" w:sz="4" w:space="0" w:color="auto"/>
            </w:tcBorders>
          </w:tcPr>
          <w:p w14:paraId="26A1234F" w14:textId="77777777" w:rsidR="002E566C" w:rsidRDefault="002E566C" w:rsidP="00A8411F">
            <w:pPr>
              <w:jc w:val="both"/>
            </w:pPr>
            <w:r>
              <w:t>C</w:t>
            </w:r>
          </w:p>
        </w:tc>
        <w:tc>
          <w:tcPr>
            <w:tcW w:w="1504" w:type="dxa"/>
            <w:tcBorders>
              <w:bottom w:val="single" w:sz="4" w:space="0" w:color="auto"/>
            </w:tcBorders>
          </w:tcPr>
          <w:p w14:paraId="0ED465F8" w14:textId="77777777" w:rsidR="002E566C" w:rsidRDefault="002E566C" w:rsidP="00A8411F">
            <w:pPr>
              <w:jc w:val="both"/>
            </w:pPr>
            <w:r>
              <w:t>D</w:t>
            </w:r>
          </w:p>
        </w:tc>
        <w:tc>
          <w:tcPr>
            <w:tcW w:w="1504" w:type="dxa"/>
          </w:tcPr>
          <w:p w14:paraId="05588D86" w14:textId="77777777" w:rsidR="002E566C" w:rsidRDefault="002E566C" w:rsidP="00A8411F">
            <w:pPr>
              <w:jc w:val="both"/>
            </w:pPr>
            <w:r>
              <w:t>E</w:t>
            </w:r>
          </w:p>
        </w:tc>
      </w:tr>
      <w:tr w:rsidR="002E566C" w14:paraId="6CB50D13" w14:textId="77777777" w:rsidTr="00304E60">
        <w:tc>
          <w:tcPr>
            <w:tcW w:w="1618" w:type="dxa"/>
          </w:tcPr>
          <w:p w14:paraId="1AB27D0A" w14:textId="77777777" w:rsidR="002E566C" w:rsidRDefault="002E566C" w:rsidP="00A8411F">
            <w:pPr>
              <w:jc w:val="both"/>
            </w:pPr>
            <w:r>
              <w:t>Q28 (5.1.1)</w:t>
            </w:r>
          </w:p>
        </w:tc>
        <w:tc>
          <w:tcPr>
            <w:tcW w:w="1384" w:type="dxa"/>
            <w:shd w:val="clear" w:color="auto" w:fill="FFFF99"/>
          </w:tcPr>
          <w:p w14:paraId="4C73B19D" w14:textId="709D9F58" w:rsidR="002E566C" w:rsidRDefault="00D52C27" w:rsidP="00A8411F">
            <w:pPr>
              <w:jc w:val="both"/>
            </w:pPr>
            <w:r>
              <w:t>20</w:t>
            </w:r>
            <w:r w:rsidR="002E566C">
              <w:t>%</w:t>
            </w:r>
          </w:p>
        </w:tc>
        <w:tc>
          <w:tcPr>
            <w:tcW w:w="1503" w:type="dxa"/>
            <w:tcBorders>
              <w:bottom w:val="single" w:sz="4" w:space="0" w:color="auto"/>
            </w:tcBorders>
            <w:shd w:val="clear" w:color="auto" w:fill="FFFF99"/>
          </w:tcPr>
          <w:p w14:paraId="0D71AABB" w14:textId="40C1FD68" w:rsidR="002E566C" w:rsidRDefault="00D52C27" w:rsidP="00A8411F">
            <w:pPr>
              <w:jc w:val="both"/>
            </w:pPr>
            <w:r>
              <w:t>29</w:t>
            </w:r>
            <w:r w:rsidR="002E566C">
              <w:t>%</w:t>
            </w:r>
          </w:p>
        </w:tc>
        <w:tc>
          <w:tcPr>
            <w:tcW w:w="1503" w:type="dxa"/>
            <w:shd w:val="clear" w:color="auto" w:fill="FFFF99"/>
          </w:tcPr>
          <w:p w14:paraId="5CAF817A" w14:textId="7E4E117A" w:rsidR="002E566C" w:rsidRDefault="00D52C27" w:rsidP="00A8411F">
            <w:pPr>
              <w:jc w:val="both"/>
            </w:pPr>
            <w:r>
              <w:t>34</w:t>
            </w:r>
            <w:r w:rsidR="002E566C">
              <w:t>%</w:t>
            </w:r>
          </w:p>
        </w:tc>
        <w:tc>
          <w:tcPr>
            <w:tcW w:w="1504" w:type="dxa"/>
            <w:tcBorders>
              <w:bottom w:val="single" w:sz="4" w:space="0" w:color="auto"/>
            </w:tcBorders>
            <w:shd w:val="clear" w:color="auto" w:fill="FFFFFF" w:themeFill="background1"/>
          </w:tcPr>
          <w:p w14:paraId="54071257" w14:textId="14F57F3A" w:rsidR="002E566C" w:rsidRDefault="00D52C27" w:rsidP="00A8411F">
            <w:pPr>
              <w:jc w:val="both"/>
            </w:pPr>
            <w:r>
              <w:t>14</w:t>
            </w:r>
            <w:r w:rsidR="002E566C">
              <w:t>%</w:t>
            </w:r>
          </w:p>
        </w:tc>
        <w:tc>
          <w:tcPr>
            <w:tcW w:w="1504" w:type="dxa"/>
            <w:tcBorders>
              <w:bottom w:val="single" w:sz="4" w:space="0" w:color="auto"/>
            </w:tcBorders>
          </w:tcPr>
          <w:p w14:paraId="2E577876" w14:textId="12E3FBCD" w:rsidR="002E566C" w:rsidRDefault="00D52C27" w:rsidP="00A8411F">
            <w:pPr>
              <w:jc w:val="both"/>
            </w:pPr>
            <w:r>
              <w:t>3</w:t>
            </w:r>
            <w:r w:rsidR="002E566C">
              <w:t>%</w:t>
            </w:r>
          </w:p>
        </w:tc>
      </w:tr>
      <w:tr w:rsidR="002E566C" w14:paraId="3945E4F9" w14:textId="77777777" w:rsidTr="00304E60">
        <w:tc>
          <w:tcPr>
            <w:tcW w:w="1618" w:type="dxa"/>
          </w:tcPr>
          <w:p w14:paraId="78C3734E" w14:textId="24E0C5A6" w:rsidR="002E566C" w:rsidRDefault="002E566C" w:rsidP="00A8411F">
            <w:pPr>
              <w:jc w:val="both"/>
            </w:pPr>
            <w:r>
              <w:t>Q29 (5.1.2</w:t>
            </w:r>
            <w:r w:rsidR="00D52C27">
              <w:t>a</w:t>
            </w:r>
            <w:r>
              <w:t>)</w:t>
            </w:r>
          </w:p>
        </w:tc>
        <w:tc>
          <w:tcPr>
            <w:tcW w:w="1384" w:type="dxa"/>
          </w:tcPr>
          <w:p w14:paraId="7D2B7CA1" w14:textId="77777777" w:rsidR="002E566C" w:rsidRDefault="002E566C" w:rsidP="00A8411F">
            <w:pPr>
              <w:jc w:val="both"/>
            </w:pPr>
            <w:r>
              <w:t>9%</w:t>
            </w:r>
          </w:p>
        </w:tc>
        <w:tc>
          <w:tcPr>
            <w:tcW w:w="1503" w:type="dxa"/>
            <w:tcBorders>
              <w:bottom w:val="single" w:sz="4" w:space="0" w:color="auto"/>
            </w:tcBorders>
            <w:shd w:val="clear" w:color="auto" w:fill="FFFF99"/>
          </w:tcPr>
          <w:p w14:paraId="08593217" w14:textId="7F8A6721" w:rsidR="002E566C" w:rsidRDefault="00D52C27" w:rsidP="00A8411F">
            <w:pPr>
              <w:jc w:val="both"/>
            </w:pPr>
            <w:r>
              <w:t>26</w:t>
            </w:r>
            <w:r w:rsidR="002E566C">
              <w:t>%</w:t>
            </w:r>
          </w:p>
        </w:tc>
        <w:tc>
          <w:tcPr>
            <w:tcW w:w="1503" w:type="dxa"/>
            <w:tcBorders>
              <w:bottom w:val="single" w:sz="4" w:space="0" w:color="auto"/>
            </w:tcBorders>
            <w:shd w:val="clear" w:color="auto" w:fill="FFFF99"/>
          </w:tcPr>
          <w:p w14:paraId="60E34ABC" w14:textId="44D936F2" w:rsidR="002E566C" w:rsidRDefault="00D52C27" w:rsidP="00A8411F">
            <w:pPr>
              <w:jc w:val="both"/>
            </w:pPr>
            <w:r>
              <w:t>34</w:t>
            </w:r>
            <w:r w:rsidR="002E566C">
              <w:t>%</w:t>
            </w:r>
          </w:p>
        </w:tc>
        <w:tc>
          <w:tcPr>
            <w:tcW w:w="1504" w:type="dxa"/>
            <w:shd w:val="clear" w:color="auto" w:fill="FFFFFF" w:themeFill="background1"/>
          </w:tcPr>
          <w:p w14:paraId="0AB6F8D9" w14:textId="7AB5F86C" w:rsidR="002E566C" w:rsidRDefault="00D52C27" w:rsidP="00A8411F">
            <w:pPr>
              <w:jc w:val="both"/>
            </w:pPr>
            <w:r>
              <w:t>17</w:t>
            </w:r>
            <w:r w:rsidR="002E566C">
              <w:t>%</w:t>
            </w:r>
          </w:p>
        </w:tc>
        <w:tc>
          <w:tcPr>
            <w:tcW w:w="1504" w:type="dxa"/>
            <w:shd w:val="clear" w:color="auto" w:fill="FFFFFF" w:themeFill="background1"/>
          </w:tcPr>
          <w:p w14:paraId="28755B8C" w14:textId="00AF7C33" w:rsidR="002E566C" w:rsidRDefault="00D52C27" w:rsidP="00A8411F">
            <w:pPr>
              <w:jc w:val="both"/>
            </w:pPr>
            <w:r>
              <w:t>14</w:t>
            </w:r>
            <w:r w:rsidR="002E566C">
              <w:t>%</w:t>
            </w:r>
          </w:p>
        </w:tc>
      </w:tr>
      <w:tr w:rsidR="00D52C27" w14:paraId="333EB7B5" w14:textId="77777777" w:rsidTr="00304E60">
        <w:tc>
          <w:tcPr>
            <w:tcW w:w="1618" w:type="dxa"/>
          </w:tcPr>
          <w:p w14:paraId="747ADF03" w14:textId="60472845" w:rsidR="00D52C27" w:rsidRDefault="00D52C27" w:rsidP="00D52C27">
            <w:pPr>
              <w:jc w:val="both"/>
            </w:pPr>
            <w:r>
              <w:t>Q29 (5.1.2b)</w:t>
            </w:r>
          </w:p>
        </w:tc>
        <w:tc>
          <w:tcPr>
            <w:tcW w:w="1384" w:type="dxa"/>
          </w:tcPr>
          <w:p w14:paraId="28CA72FF" w14:textId="4F252422" w:rsidR="00D52C27" w:rsidRDefault="00CA3702" w:rsidP="00D52C27">
            <w:pPr>
              <w:jc w:val="both"/>
            </w:pPr>
            <w:r>
              <w:t>6</w:t>
            </w:r>
            <w:r w:rsidR="00D52C27">
              <w:t>%</w:t>
            </w:r>
          </w:p>
        </w:tc>
        <w:tc>
          <w:tcPr>
            <w:tcW w:w="1503" w:type="dxa"/>
            <w:tcBorders>
              <w:bottom w:val="single" w:sz="4" w:space="0" w:color="auto"/>
            </w:tcBorders>
            <w:shd w:val="clear" w:color="auto" w:fill="FFFF99"/>
          </w:tcPr>
          <w:p w14:paraId="79AA72AE" w14:textId="07958837" w:rsidR="00D52C27" w:rsidRDefault="00CA3702" w:rsidP="00D52C27">
            <w:pPr>
              <w:jc w:val="both"/>
            </w:pPr>
            <w:r>
              <w:t>20</w:t>
            </w:r>
            <w:r w:rsidR="00D52C27">
              <w:t>%</w:t>
            </w:r>
          </w:p>
        </w:tc>
        <w:tc>
          <w:tcPr>
            <w:tcW w:w="1503" w:type="dxa"/>
            <w:tcBorders>
              <w:bottom w:val="single" w:sz="4" w:space="0" w:color="auto"/>
            </w:tcBorders>
            <w:shd w:val="clear" w:color="auto" w:fill="FFFF99"/>
          </w:tcPr>
          <w:p w14:paraId="1AFE7972" w14:textId="73387C9A" w:rsidR="00D52C27" w:rsidRDefault="00D52C27" w:rsidP="00D52C27">
            <w:pPr>
              <w:jc w:val="both"/>
            </w:pPr>
            <w:r>
              <w:t>34%</w:t>
            </w:r>
          </w:p>
        </w:tc>
        <w:tc>
          <w:tcPr>
            <w:tcW w:w="1504" w:type="dxa"/>
            <w:shd w:val="clear" w:color="auto" w:fill="FFFFFF" w:themeFill="background1"/>
          </w:tcPr>
          <w:p w14:paraId="2F85C42F" w14:textId="611B9A7B" w:rsidR="00D52C27" w:rsidRDefault="00CA3702" w:rsidP="00D52C27">
            <w:pPr>
              <w:jc w:val="both"/>
            </w:pPr>
            <w:r>
              <w:t>14</w:t>
            </w:r>
            <w:r w:rsidR="00D52C27">
              <w:t>%</w:t>
            </w:r>
          </w:p>
        </w:tc>
        <w:tc>
          <w:tcPr>
            <w:tcW w:w="1504" w:type="dxa"/>
            <w:shd w:val="clear" w:color="auto" w:fill="FFFF99"/>
          </w:tcPr>
          <w:p w14:paraId="39C41AA3" w14:textId="24268354" w:rsidR="00D52C27" w:rsidRDefault="00CA3702" w:rsidP="00D52C27">
            <w:pPr>
              <w:jc w:val="both"/>
            </w:pPr>
            <w:r>
              <w:t>26</w:t>
            </w:r>
            <w:r w:rsidR="00D52C27">
              <w:t>%</w:t>
            </w:r>
          </w:p>
        </w:tc>
      </w:tr>
      <w:tr w:rsidR="002E566C" w14:paraId="1E7A93C9" w14:textId="77777777" w:rsidTr="00D52C27">
        <w:tc>
          <w:tcPr>
            <w:tcW w:w="1618" w:type="dxa"/>
          </w:tcPr>
          <w:p w14:paraId="496DF980" w14:textId="77777777" w:rsidR="002E566C" w:rsidRDefault="002E566C" w:rsidP="00A8411F">
            <w:pPr>
              <w:jc w:val="both"/>
            </w:pPr>
            <w:r>
              <w:t>Q30 (5.1.3)</w:t>
            </w:r>
          </w:p>
        </w:tc>
        <w:tc>
          <w:tcPr>
            <w:tcW w:w="1384" w:type="dxa"/>
          </w:tcPr>
          <w:p w14:paraId="1B098390" w14:textId="0CEFC308" w:rsidR="002E566C" w:rsidRDefault="00CA3702" w:rsidP="00A8411F">
            <w:pPr>
              <w:jc w:val="both"/>
            </w:pPr>
            <w:r>
              <w:t>17</w:t>
            </w:r>
            <w:r w:rsidR="002E566C">
              <w:t>%</w:t>
            </w:r>
          </w:p>
        </w:tc>
        <w:tc>
          <w:tcPr>
            <w:tcW w:w="1503" w:type="dxa"/>
            <w:shd w:val="clear" w:color="auto" w:fill="FFFF99"/>
          </w:tcPr>
          <w:p w14:paraId="5708D98B" w14:textId="28636030" w:rsidR="002E566C" w:rsidRDefault="00CA3702" w:rsidP="00A8411F">
            <w:pPr>
              <w:jc w:val="both"/>
            </w:pPr>
            <w:r>
              <w:t>37</w:t>
            </w:r>
            <w:r w:rsidR="002E566C">
              <w:t>%</w:t>
            </w:r>
          </w:p>
        </w:tc>
        <w:tc>
          <w:tcPr>
            <w:tcW w:w="1503" w:type="dxa"/>
            <w:tcBorders>
              <w:bottom w:val="single" w:sz="4" w:space="0" w:color="auto"/>
            </w:tcBorders>
            <w:shd w:val="clear" w:color="auto" w:fill="FFFF99"/>
          </w:tcPr>
          <w:p w14:paraId="098E861C" w14:textId="1CA8EE55" w:rsidR="002E566C" w:rsidRDefault="00CA3702" w:rsidP="00A8411F">
            <w:pPr>
              <w:jc w:val="both"/>
            </w:pPr>
            <w:r>
              <w:t>20</w:t>
            </w:r>
            <w:r w:rsidR="002E566C">
              <w:t>%</w:t>
            </w:r>
          </w:p>
        </w:tc>
        <w:tc>
          <w:tcPr>
            <w:tcW w:w="1504" w:type="dxa"/>
          </w:tcPr>
          <w:p w14:paraId="3BBBA721" w14:textId="77777777" w:rsidR="002E566C" w:rsidRDefault="002E566C" w:rsidP="00A8411F">
            <w:pPr>
              <w:jc w:val="both"/>
            </w:pPr>
            <w:r>
              <w:t>14%</w:t>
            </w:r>
          </w:p>
        </w:tc>
        <w:tc>
          <w:tcPr>
            <w:tcW w:w="1504" w:type="dxa"/>
            <w:tcBorders>
              <w:bottom w:val="single" w:sz="4" w:space="0" w:color="auto"/>
            </w:tcBorders>
          </w:tcPr>
          <w:p w14:paraId="2907775B" w14:textId="0708A370" w:rsidR="002E566C" w:rsidRDefault="00CA3702" w:rsidP="00A8411F">
            <w:pPr>
              <w:jc w:val="both"/>
            </w:pPr>
            <w:r>
              <w:t>11</w:t>
            </w:r>
            <w:r w:rsidR="002E566C">
              <w:t>%</w:t>
            </w:r>
          </w:p>
        </w:tc>
      </w:tr>
      <w:tr w:rsidR="002E566C" w14:paraId="231CB2A3" w14:textId="77777777" w:rsidTr="00304E60">
        <w:tc>
          <w:tcPr>
            <w:tcW w:w="1618" w:type="dxa"/>
          </w:tcPr>
          <w:p w14:paraId="5F84428F" w14:textId="77777777" w:rsidR="002E566C" w:rsidRDefault="002E566C" w:rsidP="00A8411F">
            <w:pPr>
              <w:jc w:val="both"/>
            </w:pPr>
            <w:r>
              <w:t>Q31 (5.1.4)</w:t>
            </w:r>
          </w:p>
        </w:tc>
        <w:tc>
          <w:tcPr>
            <w:tcW w:w="1384" w:type="dxa"/>
          </w:tcPr>
          <w:p w14:paraId="6FFA5F28" w14:textId="485AE7DD" w:rsidR="002E566C" w:rsidRDefault="00CA3702" w:rsidP="00A8411F">
            <w:pPr>
              <w:jc w:val="both"/>
            </w:pPr>
            <w:r>
              <w:t>14</w:t>
            </w:r>
            <w:r w:rsidR="002E566C">
              <w:t>%</w:t>
            </w:r>
          </w:p>
        </w:tc>
        <w:tc>
          <w:tcPr>
            <w:tcW w:w="1503" w:type="dxa"/>
            <w:tcBorders>
              <w:bottom w:val="single" w:sz="4" w:space="0" w:color="auto"/>
            </w:tcBorders>
          </w:tcPr>
          <w:p w14:paraId="7321815B" w14:textId="3E0731E0" w:rsidR="002E566C" w:rsidRDefault="00CA3702" w:rsidP="00A8411F">
            <w:pPr>
              <w:jc w:val="both"/>
            </w:pPr>
            <w:r>
              <w:t>14%</w:t>
            </w:r>
          </w:p>
        </w:tc>
        <w:tc>
          <w:tcPr>
            <w:tcW w:w="1503" w:type="dxa"/>
            <w:tcBorders>
              <w:bottom w:val="single" w:sz="4" w:space="0" w:color="auto"/>
            </w:tcBorders>
            <w:shd w:val="clear" w:color="auto" w:fill="FFFF99"/>
          </w:tcPr>
          <w:p w14:paraId="676C7BC3" w14:textId="3B40A261" w:rsidR="002E566C" w:rsidRDefault="00CA3702" w:rsidP="00A8411F">
            <w:pPr>
              <w:jc w:val="both"/>
            </w:pPr>
            <w:r>
              <w:t>29</w:t>
            </w:r>
            <w:r w:rsidR="002E566C">
              <w:t>%</w:t>
            </w:r>
          </w:p>
        </w:tc>
        <w:tc>
          <w:tcPr>
            <w:tcW w:w="1504" w:type="dxa"/>
            <w:shd w:val="clear" w:color="auto" w:fill="FFFF99"/>
          </w:tcPr>
          <w:p w14:paraId="47D4E3D9" w14:textId="069F40F4" w:rsidR="002E566C" w:rsidRDefault="00CA3702" w:rsidP="00A8411F">
            <w:pPr>
              <w:jc w:val="both"/>
            </w:pPr>
            <w:r>
              <w:t>29%</w:t>
            </w:r>
          </w:p>
        </w:tc>
        <w:tc>
          <w:tcPr>
            <w:tcW w:w="1504" w:type="dxa"/>
            <w:shd w:val="clear" w:color="auto" w:fill="FFFFFF" w:themeFill="background1"/>
          </w:tcPr>
          <w:p w14:paraId="4D35C6E9" w14:textId="4F83B9A6" w:rsidR="002E566C" w:rsidRDefault="00CA3702" w:rsidP="00A8411F">
            <w:pPr>
              <w:jc w:val="both"/>
            </w:pPr>
            <w:r>
              <w:t>14</w:t>
            </w:r>
            <w:r w:rsidR="002E566C">
              <w:t>%</w:t>
            </w:r>
          </w:p>
        </w:tc>
      </w:tr>
      <w:tr w:rsidR="002E566C" w14:paraId="467E6F6D" w14:textId="77777777" w:rsidTr="009F1CC9">
        <w:tc>
          <w:tcPr>
            <w:tcW w:w="1618" w:type="dxa"/>
          </w:tcPr>
          <w:p w14:paraId="1EFDD076" w14:textId="77777777" w:rsidR="002E566C" w:rsidRDefault="002E566C" w:rsidP="00A8411F">
            <w:pPr>
              <w:jc w:val="both"/>
            </w:pPr>
            <w:r>
              <w:t>Q32 (5.1.5)</w:t>
            </w:r>
          </w:p>
        </w:tc>
        <w:tc>
          <w:tcPr>
            <w:tcW w:w="1384" w:type="dxa"/>
            <w:shd w:val="clear" w:color="auto" w:fill="FFFF99"/>
          </w:tcPr>
          <w:p w14:paraId="0A331005" w14:textId="46711F45" w:rsidR="002E566C" w:rsidRDefault="00CA3702" w:rsidP="00A8411F">
            <w:pPr>
              <w:jc w:val="both"/>
            </w:pPr>
            <w:r>
              <w:t>29</w:t>
            </w:r>
            <w:r w:rsidR="002E566C">
              <w:t>%</w:t>
            </w:r>
          </w:p>
        </w:tc>
        <w:tc>
          <w:tcPr>
            <w:tcW w:w="1503" w:type="dxa"/>
            <w:shd w:val="clear" w:color="auto" w:fill="FFFF99"/>
          </w:tcPr>
          <w:p w14:paraId="63FA386D" w14:textId="57761CB1" w:rsidR="002E566C" w:rsidRDefault="00CA3702" w:rsidP="00A8411F">
            <w:pPr>
              <w:jc w:val="both"/>
            </w:pPr>
            <w:r>
              <w:t>23</w:t>
            </w:r>
            <w:r w:rsidR="002E566C">
              <w:t>%</w:t>
            </w:r>
          </w:p>
        </w:tc>
        <w:tc>
          <w:tcPr>
            <w:tcW w:w="1503" w:type="dxa"/>
            <w:shd w:val="clear" w:color="auto" w:fill="FFCC99"/>
          </w:tcPr>
          <w:p w14:paraId="115398AC" w14:textId="77777777" w:rsidR="002E566C" w:rsidRDefault="002E566C" w:rsidP="00A8411F">
            <w:pPr>
              <w:jc w:val="both"/>
            </w:pPr>
            <w:r>
              <w:t>40%</w:t>
            </w:r>
          </w:p>
        </w:tc>
        <w:tc>
          <w:tcPr>
            <w:tcW w:w="1504" w:type="dxa"/>
          </w:tcPr>
          <w:p w14:paraId="4F14C79D" w14:textId="77777777" w:rsidR="002E566C" w:rsidRDefault="002E566C" w:rsidP="00A8411F">
            <w:pPr>
              <w:jc w:val="both"/>
            </w:pPr>
            <w:r>
              <w:t>9%</w:t>
            </w:r>
          </w:p>
        </w:tc>
        <w:tc>
          <w:tcPr>
            <w:tcW w:w="1504" w:type="dxa"/>
          </w:tcPr>
          <w:p w14:paraId="6B3AB6A9" w14:textId="177A5F8A" w:rsidR="002E566C" w:rsidRDefault="00CA3702" w:rsidP="00A8411F">
            <w:pPr>
              <w:jc w:val="both"/>
            </w:pPr>
            <w:r>
              <w:t>0</w:t>
            </w:r>
            <w:r w:rsidR="002E566C">
              <w:t>%</w:t>
            </w:r>
          </w:p>
        </w:tc>
      </w:tr>
    </w:tbl>
    <w:p w14:paraId="492C73EA" w14:textId="3A39C518" w:rsidR="002E566C" w:rsidRDefault="002E566C" w:rsidP="002E566C">
      <w:pPr>
        <w:jc w:val="both"/>
        <w:rPr>
          <w:i/>
          <w:sz w:val="18"/>
          <w:szCs w:val="18"/>
        </w:rPr>
      </w:pPr>
      <w:r w:rsidRPr="000A31D7">
        <w:rPr>
          <w:i/>
          <w:sz w:val="18"/>
          <w:szCs w:val="18"/>
        </w:rPr>
        <w:t xml:space="preserve">Figures are rounded to the nearest </w:t>
      </w:r>
      <w:r w:rsidR="00790D34" w:rsidRPr="000A31D7">
        <w:rPr>
          <w:i/>
          <w:sz w:val="18"/>
          <w:szCs w:val="18"/>
        </w:rPr>
        <w:t>percentage point</w:t>
      </w:r>
      <w:r w:rsidRPr="000A31D7">
        <w:rPr>
          <w:i/>
          <w:sz w:val="18"/>
          <w:szCs w:val="18"/>
        </w:rPr>
        <w:t xml:space="preserve"> and therefore may not sum to 100.</w:t>
      </w:r>
    </w:p>
    <w:p w14:paraId="7382BAC2" w14:textId="6385C684" w:rsidR="009B7F4C" w:rsidRPr="00E47E42" w:rsidRDefault="009B7F4C" w:rsidP="00E47E42">
      <w:pPr>
        <w:ind w:left="993" w:hanging="633"/>
        <w:jc w:val="both"/>
        <w:rPr>
          <w:rStyle w:val="SubtleEmphasis"/>
        </w:rPr>
      </w:pPr>
      <w:r w:rsidRPr="00E47E42">
        <w:rPr>
          <w:rStyle w:val="SubtleEmphasis"/>
        </w:rPr>
        <w:t>5.1.1:</w:t>
      </w:r>
      <w:r w:rsidRPr="00E47E42">
        <w:rPr>
          <w:rStyle w:val="SubtleEmphasis"/>
        </w:rPr>
        <w:tab/>
      </w:r>
      <w:r w:rsidR="00D52C27" w:rsidRPr="00D52C27">
        <w:rPr>
          <w:rStyle w:val="SubtleEmphasis"/>
        </w:rPr>
        <w:t>There is clear support from the head of department for flexible working, evidenced by personal uptake by senior staff.</w:t>
      </w:r>
    </w:p>
    <w:p w14:paraId="4F3FAF67" w14:textId="5E0B2EF8" w:rsidR="00D52C27" w:rsidRDefault="00E932C5" w:rsidP="00E47E42">
      <w:pPr>
        <w:ind w:left="993" w:hanging="633"/>
        <w:jc w:val="both"/>
        <w:rPr>
          <w:rStyle w:val="SubtleEmphasis"/>
        </w:rPr>
      </w:pPr>
      <w:r w:rsidRPr="00E47E42">
        <w:rPr>
          <w:rStyle w:val="SubtleEmphasis"/>
        </w:rPr>
        <w:lastRenderedPageBreak/>
        <w:t>5.1.2</w:t>
      </w:r>
      <w:r w:rsidR="00D52C27">
        <w:rPr>
          <w:rStyle w:val="SubtleEmphasis"/>
        </w:rPr>
        <w:t>a</w:t>
      </w:r>
      <w:r w:rsidRPr="00E47E42">
        <w:rPr>
          <w:rStyle w:val="SubtleEmphasis"/>
        </w:rPr>
        <w:t>:</w:t>
      </w:r>
      <w:r w:rsidRPr="00E47E42">
        <w:rPr>
          <w:rStyle w:val="SubtleEmphasis"/>
        </w:rPr>
        <w:tab/>
        <w:t xml:space="preserve">The department’s policy and practice on flexible working is transparent and consistently applied. </w:t>
      </w:r>
    </w:p>
    <w:p w14:paraId="6BB8FACF" w14:textId="6E15CCBD" w:rsidR="00E932C5" w:rsidRPr="00E47E42" w:rsidRDefault="00D52C27" w:rsidP="00E47E42">
      <w:pPr>
        <w:ind w:left="993" w:hanging="633"/>
        <w:jc w:val="both"/>
        <w:rPr>
          <w:rStyle w:val="SubtleEmphasis"/>
        </w:rPr>
      </w:pPr>
      <w:r w:rsidRPr="00D52C27">
        <w:rPr>
          <w:i/>
          <w:iCs/>
          <w:color w:val="5A5A5A" w:themeColor="text1" w:themeTint="A5"/>
        </w:rPr>
        <w:t>5.1.2</w:t>
      </w:r>
      <w:r>
        <w:rPr>
          <w:i/>
          <w:iCs/>
          <w:color w:val="5A5A5A" w:themeColor="text1" w:themeTint="A5"/>
        </w:rPr>
        <w:t>b</w:t>
      </w:r>
      <w:r w:rsidRPr="00D52C27">
        <w:rPr>
          <w:i/>
          <w:iCs/>
          <w:color w:val="5A5A5A" w:themeColor="text1" w:themeTint="A5"/>
        </w:rPr>
        <w:t>:</w:t>
      </w:r>
      <w:r w:rsidRPr="00D52C27">
        <w:rPr>
          <w:i/>
          <w:iCs/>
          <w:color w:val="5A5A5A" w:themeColor="text1" w:themeTint="A5"/>
        </w:rPr>
        <w:tab/>
      </w:r>
      <w:r w:rsidR="00E932C5" w:rsidRPr="00E47E42">
        <w:rPr>
          <w:rStyle w:val="SubtleEmphasis"/>
        </w:rPr>
        <w:t xml:space="preserve">The department monitors the take-up of flexible working options for both male and female staff.  </w:t>
      </w:r>
    </w:p>
    <w:p w14:paraId="3C164B66" w14:textId="0CF6BF96" w:rsidR="00E932C5" w:rsidRPr="00E47E42" w:rsidRDefault="00E932C5" w:rsidP="00E47E42">
      <w:pPr>
        <w:ind w:left="993" w:hanging="633"/>
        <w:jc w:val="both"/>
        <w:rPr>
          <w:rStyle w:val="SubtleEmphasis"/>
        </w:rPr>
      </w:pPr>
      <w:r w:rsidRPr="00E47E42">
        <w:rPr>
          <w:rStyle w:val="SubtleEmphasis"/>
        </w:rPr>
        <w:t>5.1.3:</w:t>
      </w:r>
      <w:r w:rsidRPr="00E47E42">
        <w:rPr>
          <w:rStyle w:val="SubtleEmphasis"/>
        </w:rPr>
        <w:tab/>
      </w:r>
      <w:r w:rsidR="00CA3702" w:rsidRPr="00CA3702">
        <w:rPr>
          <w:rStyle w:val="SubtleEmphasis"/>
        </w:rPr>
        <w:t>The department’s management and operational arrangements reflect the department’s understanding of, and commitment to, a good work-life balance for all its staff. For example, department meetings are timed to take account of caring/family responsibilities, work allocation discussions are held with new staff to pick up work-life balance issues, and changes in caring responsibilities are dealt with in a supportive and practical way.</w:t>
      </w:r>
    </w:p>
    <w:p w14:paraId="42E85CD7" w14:textId="77777777" w:rsidR="00CA3702" w:rsidRDefault="002E38B5" w:rsidP="00E47E42">
      <w:pPr>
        <w:ind w:left="993" w:hanging="633"/>
        <w:jc w:val="both"/>
        <w:rPr>
          <w:rStyle w:val="SubtleEmphasis"/>
        </w:rPr>
      </w:pPr>
      <w:r w:rsidRPr="00E47E42">
        <w:rPr>
          <w:rStyle w:val="SubtleEmphasis"/>
        </w:rPr>
        <w:t>5.1.4:</w:t>
      </w:r>
      <w:r w:rsidRPr="00E47E42">
        <w:rPr>
          <w:rStyle w:val="SubtleEmphasis"/>
        </w:rPr>
        <w:tab/>
      </w:r>
      <w:r w:rsidR="00CA3702" w:rsidRPr="00CA3702">
        <w:rPr>
          <w:rStyle w:val="SubtleEmphasis"/>
        </w:rPr>
        <w:t>The department proactively manages arrangements in advance of, and during, career breaks or maternity leave and provides the support and flexibility to allow returners to get back up to speed. For example, by enabling individuals to focus on their research initially and/or work part-time with teaching duties limited in the first year after the break.</w:t>
      </w:r>
    </w:p>
    <w:p w14:paraId="050B1F40" w14:textId="67460F3F" w:rsidR="00E47E42" w:rsidRPr="00E47E42" w:rsidRDefault="00E47E42" w:rsidP="00E47E42">
      <w:pPr>
        <w:ind w:left="993" w:hanging="633"/>
        <w:jc w:val="both"/>
        <w:rPr>
          <w:rStyle w:val="SubtleEmphasis"/>
        </w:rPr>
      </w:pPr>
      <w:r w:rsidRPr="00E47E42">
        <w:rPr>
          <w:rStyle w:val="SubtleEmphasis"/>
        </w:rPr>
        <w:t>5.1.5:</w:t>
      </w:r>
      <w:r w:rsidRPr="00E47E42">
        <w:rPr>
          <w:rStyle w:val="SubtleEmphasis"/>
        </w:rPr>
        <w:tab/>
      </w:r>
      <w:r w:rsidR="00CA3702" w:rsidRPr="00CA3702">
        <w:rPr>
          <w:rStyle w:val="SubtleEmphasis"/>
        </w:rPr>
        <w:t>There is clear support and understanding from all members of the department, including the head, for parental and other caring leave.</w:t>
      </w:r>
    </w:p>
    <w:p w14:paraId="36314710" w14:textId="77777777" w:rsidR="00520044" w:rsidRDefault="00520044" w:rsidP="00FC43AD">
      <w:pPr>
        <w:pStyle w:val="Heading1"/>
      </w:pPr>
    </w:p>
    <w:tbl>
      <w:tblPr>
        <w:tblW w:w="5000" w:type="pct"/>
        <w:tblBorders>
          <w:insideH w:val="single" w:sz="2" w:space="1" w:color="CCCCCC"/>
          <w:insideV w:val="single" w:sz="4" w:space="0" w:color="CCCCCC"/>
        </w:tblBorders>
        <w:tblLook w:val="04A0" w:firstRow="1" w:lastRow="0" w:firstColumn="1" w:lastColumn="0" w:noHBand="0" w:noVBand="1"/>
      </w:tblPr>
      <w:tblGrid>
        <w:gridCol w:w="9026"/>
      </w:tblGrid>
      <w:tr w:rsidR="00C046A3" w14:paraId="07216844" w14:textId="77777777" w:rsidTr="00F52F8A">
        <w:trPr>
          <w:trHeight w:val="432"/>
        </w:trPr>
        <w:tc>
          <w:tcPr>
            <w:tcW w:w="0" w:type="auto"/>
            <w:vAlign w:val="center"/>
          </w:tcPr>
          <w:p w14:paraId="0838D3C9" w14:textId="77777777" w:rsidR="00C046A3" w:rsidRDefault="00C046A3" w:rsidP="00F52F8A">
            <w:r>
              <w:t>The department seems to have lots of good intentions but is lacking of follow through. This applies to all aspects of equity and diversity, not just gender. This is probably related to lack of time resourcing, but if the department wants to get better and take these things seriously, it will have to actually front up and engage in the work.</w:t>
            </w:r>
          </w:p>
        </w:tc>
      </w:tr>
      <w:tr w:rsidR="00C046A3" w14:paraId="4D691983" w14:textId="77777777" w:rsidTr="00F52F8A">
        <w:trPr>
          <w:trHeight w:val="432"/>
        </w:trPr>
        <w:tc>
          <w:tcPr>
            <w:tcW w:w="0" w:type="auto"/>
            <w:vAlign w:val="center"/>
          </w:tcPr>
          <w:p w14:paraId="41DCC472" w14:textId="77777777" w:rsidR="00C046A3" w:rsidRDefault="00C046A3" w:rsidP="00F52F8A">
            <w:r>
              <w:t>More work needs doing. I’d particularly like to see us engaging with someone like Pauline Harris to integrate Māori and Pasifika cultural experiences and history into the teaching curriculum.</w:t>
            </w:r>
          </w:p>
        </w:tc>
      </w:tr>
      <w:tr w:rsidR="00C046A3" w14:paraId="4F25721F" w14:textId="77777777" w:rsidTr="00F52F8A">
        <w:trPr>
          <w:trHeight w:val="432"/>
        </w:trPr>
        <w:tc>
          <w:tcPr>
            <w:tcW w:w="0" w:type="auto"/>
            <w:vAlign w:val="center"/>
          </w:tcPr>
          <w:p w14:paraId="54049719" w14:textId="77777777" w:rsidR="00C046A3" w:rsidRDefault="00C046A3" w:rsidP="00F52F8A">
            <w:r>
              <w:t xml:space="preserve">While there is often focus on </w:t>
            </w:r>
            <w:proofErr w:type="spellStart"/>
            <w:r>
              <w:t>the'problem</w:t>
            </w:r>
            <w:proofErr w:type="spellEnd"/>
            <w:r>
              <w:t xml:space="preserve">' of 'senior white males' filling the professorial and technical ranks, I see this as an historical anomaly that will pass. Just observe the diversity and energy of the upcoming researchers and leading academics of the future represented by the youth of the department. I have not worked in another place that is more diverse than the Physics department, I see many different ethnicities and </w:t>
            </w:r>
            <w:proofErr w:type="spellStart"/>
            <w:proofErr w:type="gramStart"/>
            <w:r>
              <w:t>a</w:t>
            </w:r>
            <w:proofErr w:type="spellEnd"/>
            <w:proofErr w:type="gramEnd"/>
            <w:r>
              <w:t xml:space="preserve"> even gender balance. Plus they are generally nice people who are respectful and caring of each other. Not a lot to fix here, career progression and institutional true acceptance of a range of work/life options the only notes of concern. Though this is a NZ/AUST societal characteristic that will take time to evolve. "Social change progresses one funeral at a time" to paraphrase Max Planck</w:t>
            </w:r>
          </w:p>
        </w:tc>
      </w:tr>
      <w:tr w:rsidR="00C046A3" w14:paraId="634BDFCB" w14:textId="77777777" w:rsidTr="00F52F8A">
        <w:trPr>
          <w:trHeight w:val="432"/>
        </w:trPr>
        <w:tc>
          <w:tcPr>
            <w:tcW w:w="0" w:type="auto"/>
            <w:vAlign w:val="center"/>
          </w:tcPr>
          <w:p w14:paraId="6A97F982" w14:textId="77777777" w:rsidR="00C046A3" w:rsidRDefault="00C046A3" w:rsidP="00F52F8A">
            <w:r>
              <w:t>At some point, we also need to turn our focus upon diversity and equity for other underrepresented groups, including Maori and Pacific Islanders.  In addition, there are very few people from non-European countries among our staff.  Training in underlying bias needs to address this issue, as I have personally heard / witnessed attitudes and comments that reflect negative assumptions about people from India, Pakistan, China, Korea and others.</w:t>
            </w:r>
          </w:p>
        </w:tc>
      </w:tr>
      <w:tr w:rsidR="00C046A3" w14:paraId="43F7B584" w14:textId="77777777" w:rsidTr="00F52F8A">
        <w:trPr>
          <w:trHeight w:val="432"/>
        </w:trPr>
        <w:tc>
          <w:tcPr>
            <w:tcW w:w="0" w:type="auto"/>
            <w:vAlign w:val="center"/>
          </w:tcPr>
          <w:p w14:paraId="70D55A57" w14:textId="77777777" w:rsidR="00C046A3" w:rsidRDefault="00C046A3" w:rsidP="00F52F8A">
            <w:r>
              <w:t>Focus on gender far too great relative to cultural diversity</w:t>
            </w:r>
          </w:p>
        </w:tc>
      </w:tr>
    </w:tbl>
    <w:p w14:paraId="50957F8B" w14:textId="77777777" w:rsidR="00C046A3" w:rsidRDefault="00C046A3" w:rsidP="00C046A3"/>
    <w:p w14:paraId="124ADB87" w14:textId="77777777" w:rsidR="00C046A3" w:rsidRDefault="00C046A3" w:rsidP="00C046A3"/>
    <w:p w14:paraId="14D53A18" w14:textId="77777777" w:rsidR="00C046A3" w:rsidRDefault="00C046A3" w:rsidP="00C046A3"/>
    <w:p w14:paraId="3545604B" w14:textId="77777777" w:rsidR="00C046A3" w:rsidRPr="00C046A3" w:rsidRDefault="00C046A3" w:rsidP="00C046A3">
      <w:pPr>
        <w:sectPr w:rsidR="00C046A3" w:rsidRPr="00C046A3" w:rsidSect="00520044">
          <w:pgSz w:w="11906" w:h="16838"/>
          <w:pgMar w:top="1440" w:right="1440" w:bottom="1440" w:left="1440" w:header="709" w:footer="709" w:gutter="0"/>
          <w:cols w:space="708"/>
          <w:docGrid w:linePitch="360"/>
        </w:sectPr>
      </w:pPr>
    </w:p>
    <w:p w14:paraId="73D1FF61" w14:textId="77777777" w:rsidR="00C771B4" w:rsidRDefault="00C771B4" w:rsidP="00C771B4">
      <w:pPr>
        <w:pStyle w:val="Heading1"/>
      </w:pPr>
      <w:bookmarkStart w:id="17" w:name="_Toc329540734"/>
      <w:r>
        <w:lastRenderedPageBreak/>
        <w:t>Summary</w:t>
      </w:r>
      <w:bookmarkEnd w:id="17"/>
    </w:p>
    <w:p w14:paraId="5A3F2AB7" w14:textId="77777777" w:rsidR="00C771B4" w:rsidRDefault="00C771B4" w:rsidP="00C771B4">
      <w:pPr>
        <w:jc w:val="both"/>
      </w:pPr>
      <w:r>
        <w:t>The survey responses revealed a number of themes that cut across the different sections of the survey. These themes reveal some strengths within the department that can be built upon, but also indicate that failings in the department often share common weaknesses. Any plans to address equity and diversity in the department should be mindful of these themes, whatever the context in which the proposed action might occur.</w:t>
      </w:r>
    </w:p>
    <w:p w14:paraId="44569FB2" w14:textId="77777777" w:rsidR="00C771B4" w:rsidRDefault="00C771B4" w:rsidP="00C771B4">
      <w:pPr>
        <w:pStyle w:val="Heading5"/>
      </w:pPr>
      <w:r>
        <w:t xml:space="preserve">Good attitudes: </w:t>
      </w:r>
    </w:p>
    <w:p w14:paraId="4A395B1C" w14:textId="77777777" w:rsidR="00C771B4" w:rsidRDefault="00C771B4" w:rsidP="00C771B4">
      <w:pPr>
        <w:jc w:val="both"/>
      </w:pPr>
      <w:r w:rsidRPr="006D6E6B">
        <w:t xml:space="preserve">The department demonstrates </w:t>
      </w:r>
      <w:r>
        <w:t xml:space="preserve">some </w:t>
      </w:r>
      <w:r w:rsidRPr="006D6E6B">
        <w:t>good attitudes towards improving gender equity</w:t>
      </w:r>
      <w:r>
        <w:t xml:space="preserve">. Several comments made mention of supportive attitudes in the department when it comes to addressing gender equity, from the </w:t>
      </w:r>
      <w:proofErr w:type="spellStart"/>
      <w:r>
        <w:t>HoD</w:t>
      </w:r>
      <w:proofErr w:type="spellEnd"/>
      <w:r>
        <w:t xml:space="preserve"> and from a set of colleagues. These comments were backed up by quantitative results – statements about supportive attitudes towards gender equity tended to receive more positive responses than those that related to specific actions to improve gender equity.</w:t>
      </w:r>
    </w:p>
    <w:p w14:paraId="15692D25" w14:textId="77777777" w:rsidR="00C771B4" w:rsidRDefault="00C771B4" w:rsidP="00C771B4">
      <w:pPr>
        <w:pStyle w:val="Heading5"/>
      </w:pPr>
      <w:r>
        <w:t>Poor follow-through:</w:t>
      </w:r>
    </w:p>
    <w:p w14:paraId="7EF5B476" w14:textId="77777777" w:rsidR="00C771B4" w:rsidRDefault="00C771B4" w:rsidP="00C771B4">
      <w:pPr>
        <w:jc w:val="both"/>
      </w:pPr>
      <w:r>
        <w:t xml:space="preserve">Despite the good attitudes, comments frequently identified a lack of “walking-the-talk” when it comes to addressing gender equity in the department. The poorest quantitative responses tend to relate to those statements regarding specific actions taken within the department to address gender equity, or referring to the existence of specific processes.  When respondents did identify positive action that supported gender equity, there was concern that the action was </w:t>
      </w:r>
      <w:r w:rsidRPr="003E5805">
        <w:t>ad hoc</w:t>
      </w:r>
      <w:r>
        <w:t xml:space="preserve"> and was typically un-documented. This means that when action does take place, the benefit of it is less than it might be – other staff members remain unaware of what is possible and the uptake of positive practises is limited.</w:t>
      </w:r>
    </w:p>
    <w:p w14:paraId="331912C5" w14:textId="77777777" w:rsidR="00C771B4" w:rsidRPr="00183AAE" w:rsidRDefault="00C771B4" w:rsidP="00C771B4">
      <w:pPr>
        <w:pStyle w:val="Heading5"/>
      </w:pPr>
      <w:r>
        <w:t>Lack of information and documentation</w:t>
      </w:r>
      <w:r w:rsidRPr="00183AAE">
        <w:t>:</w:t>
      </w:r>
    </w:p>
    <w:p w14:paraId="63F1EBCD" w14:textId="5402AB1B" w:rsidR="00C771B4" w:rsidRDefault="00C771B4" w:rsidP="00C771B4">
      <w:pPr>
        <w:jc w:val="both"/>
      </w:pPr>
      <w:r>
        <w:t>There is a perceived lack of information and documentation about processes, procedures, and practises and this has negative consequences for gender equity. In some cases, information may already exist within university policies but it is unclear how the policies are made operational within the department. Those processes driven by the university (e.g. APR/Evolve/PBRF), were typically seen as being better documented than thos</w:t>
      </w:r>
      <w:r w:rsidR="009E698A">
        <w:t>e within the department or the f</w:t>
      </w:r>
      <w:r>
        <w:t>aculty (e.g. negotiation of flexible working arrangements, support for professional development, promotion and hiring).</w:t>
      </w:r>
    </w:p>
    <w:p w14:paraId="52F00850" w14:textId="77777777" w:rsidR="00C771B4" w:rsidRPr="001710CE" w:rsidRDefault="00C771B4" w:rsidP="00C771B4">
      <w:pPr>
        <w:pStyle w:val="Heading5"/>
      </w:pPr>
      <w:r w:rsidRPr="001710CE">
        <w:t xml:space="preserve">We </w:t>
      </w:r>
      <w:r>
        <w:t>should</w:t>
      </w:r>
      <w:r w:rsidRPr="001710CE">
        <w:t xml:space="preserve"> be more transparent:</w:t>
      </w:r>
    </w:p>
    <w:p w14:paraId="5D7BD408" w14:textId="77777777" w:rsidR="00C771B4" w:rsidRDefault="00C771B4" w:rsidP="00C771B4">
      <w:pPr>
        <w:jc w:val="both"/>
      </w:pPr>
      <w:r>
        <w:t xml:space="preserve">Transparency of departmental decision making processes in general was seen to be poor, though some departmental processes, such as the workload allocation model, were seen as being reasonably transparent, even if there were reservations about how well this model reflects reality. </w:t>
      </w:r>
    </w:p>
    <w:p w14:paraId="7282111E" w14:textId="77777777" w:rsidR="00C771B4" w:rsidRDefault="00C771B4" w:rsidP="00C771B4">
      <w:pPr>
        <w:jc w:val="both"/>
      </w:pPr>
      <w:r>
        <w:t xml:space="preserve">There is concern about a lack of consultation within the department and there is a lack of clarity about the role of the </w:t>
      </w:r>
      <w:proofErr w:type="spellStart"/>
      <w:r>
        <w:t>HoD</w:t>
      </w:r>
      <w:proofErr w:type="spellEnd"/>
      <w:r>
        <w:t xml:space="preserve"> advisory committee. Clarifying the role of the </w:t>
      </w:r>
      <w:proofErr w:type="spellStart"/>
      <w:r>
        <w:t>HoD</w:t>
      </w:r>
      <w:proofErr w:type="spellEnd"/>
      <w:r>
        <w:t xml:space="preserve"> committee has the potential to create a more effective leadership group within the department. Not all department members, or students, will always feel that they are able to directly engage with the </w:t>
      </w:r>
      <w:proofErr w:type="spellStart"/>
      <w:r>
        <w:t>HoD</w:t>
      </w:r>
      <w:proofErr w:type="spellEnd"/>
      <w:r>
        <w:t xml:space="preserve"> on all issues. A well-defined leadership group, that played a role in departmental decision making, could provide more avenues for people to seek information and for people to raise concerns. Department members would need to know that the </w:t>
      </w:r>
      <w:proofErr w:type="spellStart"/>
      <w:r>
        <w:t>HoD</w:t>
      </w:r>
      <w:proofErr w:type="spellEnd"/>
      <w:r>
        <w:t xml:space="preserve"> engages regularly with the group. A standing role, for one or more people, as deputy </w:t>
      </w:r>
      <w:proofErr w:type="spellStart"/>
      <w:r>
        <w:t>HoD</w:t>
      </w:r>
      <w:proofErr w:type="spellEnd"/>
      <w:r>
        <w:t xml:space="preserve"> could have a similar effect.</w:t>
      </w:r>
    </w:p>
    <w:p w14:paraId="35C1125B" w14:textId="77777777" w:rsidR="00C517ED" w:rsidRDefault="00C517ED" w:rsidP="00C771B4">
      <w:pPr>
        <w:jc w:val="both"/>
      </w:pPr>
    </w:p>
    <w:p w14:paraId="4AE9EF25" w14:textId="77777777" w:rsidR="00C517ED" w:rsidRDefault="00C517ED" w:rsidP="00C771B4">
      <w:pPr>
        <w:jc w:val="both"/>
      </w:pPr>
    </w:p>
    <w:p w14:paraId="0B88403A" w14:textId="77777777" w:rsidR="00C517ED" w:rsidRDefault="00C517ED" w:rsidP="00C771B4">
      <w:pPr>
        <w:jc w:val="both"/>
      </w:pPr>
    </w:p>
    <w:p w14:paraId="02D7A06A" w14:textId="77777777" w:rsidR="00C771B4" w:rsidRPr="00C56B8A" w:rsidRDefault="00C771B4" w:rsidP="00C771B4">
      <w:pPr>
        <w:pStyle w:val="Heading5"/>
      </w:pPr>
      <w:r>
        <w:lastRenderedPageBreak/>
        <w:t>Better</w:t>
      </w:r>
      <w:r w:rsidRPr="00C56B8A">
        <w:t xml:space="preserve"> plan</w:t>
      </w:r>
      <w:r>
        <w:t>ning</w:t>
      </w:r>
      <w:r w:rsidRPr="00C56B8A">
        <w:t>:</w:t>
      </w:r>
    </w:p>
    <w:p w14:paraId="600B895E" w14:textId="0514A620" w:rsidR="00C771B4" w:rsidRDefault="00C771B4" w:rsidP="00C517ED">
      <w:pPr>
        <w:jc w:val="both"/>
      </w:pPr>
      <w:r>
        <w:t xml:space="preserve">Responses to several sections indicated concern that the department’s approach to processes is </w:t>
      </w:r>
      <w:r w:rsidRPr="00844B21">
        <w:t>ad hoc</w:t>
      </w:r>
      <w:r>
        <w:t>. Better planning can help the department be more proactive in addressing gender equity. A lack of transparent planning makes it difficult to document processes or to collect data on their performance. It also tends to exclude those staff members with weaker links within the department such as newer staff members and under-represented groups. Demonstrating planning will also help improve transparency as processes are documented and formalised.</w:t>
      </w:r>
    </w:p>
    <w:p w14:paraId="35A1D0DD" w14:textId="77777777" w:rsidR="00C771B4" w:rsidRDefault="00C771B4" w:rsidP="00C771B4">
      <w:pPr>
        <w:pStyle w:val="Heading5"/>
      </w:pPr>
      <w:r w:rsidRPr="00FD387A">
        <w:t>We could do worse:</w:t>
      </w:r>
    </w:p>
    <w:p w14:paraId="1BD6867A" w14:textId="77777777" w:rsidR="00C771B4" w:rsidRDefault="00C771B4" w:rsidP="00C771B4">
      <w:pPr>
        <w:jc w:val="both"/>
      </w:pPr>
      <w:r>
        <w:t>While the survey responses identify a number of concerns and areas where work is needed to address gender equity, and other diversity issues, in the department, there was a feeling amongst the respondents that the department is ahead of many others in the university, in demonstrating a willingness to engage positively with the issue of gender equity.</w:t>
      </w:r>
    </w:p>
    <w:p w14:paraId="2D6BCEB5" w14:textId="1CBFCA81" w:rsidR="00C771B4" w:rsidRDefault="00C771B4" w:rsidP="00C771B4">
      <w:pPr>
        <w:sectPr w:rsidR="00C771B4" w:rsidSect="00520044">
          <w:pgSz w:w="11906" w:h="16838"/>
          <w:pgMar w:top="1440" w:right="1440" w:bottom="1440" w:left="1440" w:header="709" w:footer="709" w:gutter="0"/>
          <w:cols w:space="708"/>
          <w:docGrid w:linePitch="360"/>
        </w:sectPr>
      </w:pPr>
      <w:r>
        <w:t>Several people noted in the final</w:t>
      </w:r>
      <w:r w:rsidR="00C517ED">
        <w:t xml:space="preserve"> “open feedback” question that </w:t>
      </w:r>
      <w:r>
        <w:t>ethnic diversity within the department is another area of concern.</w:t>
      </w:r>
    </w:p>
    <w:p w14:paraId="0657DD50" w14:textId="6587FFC3" w:rsidR="00C771B4" w:rsidRDefault="00C771B4" w:rsidP="00C771B4"/>
    <w:p w14:paraId="410E69E2" w14:textId="7184671F" w:rsidR="002E566C" w:rsidRPr="00F95297" w:rsidRDefault="002E566C" w:rsidP="00FC43AD">
      <w:pPr>
        <w:pStyle w:val="Heading1"/>
      </w:pPr>
      <w:bookmarkStart w:id="18" w:name="_Toc329540735"/>
      <w:r w:rsidRPr="00F95297">
        <w:t>Recommendations</w:t>
      </w:r>
      <w:bookmarkEnd w:id="18"/>
    </w:p>
    <w:p w14:paraId="6100D1ED" w14:textId="2C9C86A4" w:rsidR="002E566C" w:rsidRDefault="002E566C" w:rsidP="002E566C">
      <w:pPr>
        <w:jc w:val="both"/>
      </w:pPr>
      <w:r>
        <w:t xml:space="preserve">Based on the </w:t>
      </w:r>
      <w:r w:rsidR="001D269A">
        <w:t>findings</w:t>
      </w:r>
      <w:r>
        <w:t xml:space="preserve"> above, we have formulated a set of five </w:t>
      </w:r>
      <w:r w:rsidR="00790D34">
        <w:t>recommendations</w:t>
      </w:r>
      <w:r>
        <w:t xml:space="preserve"> that </w:t>
      </w:r>
      <w:r w:rsidR="001D269A">
        <w:t>are intended to help</w:t>
      </w:r>
      <w:r>
        <w:t xml:space="preserve"> address some of the weaknesses identified. In formulating these, we have focused on points that the department can easi</w:t>
      </w:r>
      <w:r w:rsidR="00CD5EFA">
        <w:t>ly</w:t>
      </w:r>
      <w:r w:rsidR="00F108A1">
        <w:t xml:space="preserve"> implement itself</w:t>
      </w:r>
      <w:r>
        <w:t>.</w:t>
      </w:r>
      <w:r w:rsidR="002B4200">
        <w:t xml:space="preserve"> We </w:t>
      </w:r>
      <w:r w:rsidR="00F108A1">
        <w:t>note, however,</w:t>
      </w:r>
      <w:r w:rsidR="002B4200">
        <w:t xml:space="preserve"> </w:t>
      </w:r>
      <w:r w:rsidR="00DA15F8">
        <w:t xml:space="preserve">the importance of the department adopting </w:t>
      </w:r>
      <w:r w:rsidR="00F108A1">
        <w:t xml:space="preserve">and implementing </w:t>
      </w:r>
      <w:r w:rsidR="00816650">
        <w:t xml:space="preserve">existing </w:t>
      </w:r>
      <w:r w:rsidR="005A045D">
        <w:t>University or Faculty policies</w:t>
      </w:r>
      <w:r w:rsidR="002B4200">
        <w:t xml:space="preserve"> and guidelines </w:t>
      </w:r>
      <w:r w:rsidR="00B93EFF">
        <w:t xml:space="preserve">relevant to improving </w:t>
      </w:r>
      <w:r w:rsidR="002B4200">
        <w:t>gender equity</w:t>
      </w:r>
      <w:r w:rsidR="00F108A1">
        <w:t>.</w:t>
      </w:r>
      <w:r w:rsidR="00B93EFF">
        <w:t xml:space="preserve"> This </w:t>
      </w:r>
      <w:r w:rsidR="00816650">
        <w:t xml:space="preserve">process </w:t>
      </w:r>
      <w:r w:rsidR="00B93EFF">
        <w:t>can be facilitated by the department fully engaging with, for example, the Faculty Equity Committee and the Gender Equity Platform. Good communication between these groups and the department also means that effective initiatives within the</w:t>
      </w:r>
      <w:r w:rsidR="002A7E0C">
        <w:t xml:space="preserve"> department can spread to other parts of the University.</w:t>
      </w:r>
    </w:p>
    <w:p w14:paraId="77824E3B" w14:textId="5F98D928" w:rsidR="002E566C" w:rsidRDefault="002E566C" w:rsidP="002E566C">
      <w:pPr>
        <w:pStyle w:val="ListParagraph"/>
        <w:numPr>
          <w:ilvl w:val="0"/>
          <w:numId w:val="1"/>
        </w:numPr>
        <w:jc w:val="both"/>
      </w:pPr>
      <w:r>
        <w:t>Develop an</w:t>
      </w:r>
      <w:r w:rsidR="009938C8">
        <w:t>d</w:t>
      </w:r>
      <w:r>
        <w:t xml:space="preserve"> implement an induction process for new staff </w:t>
      </w:r>
    </w:p>
    <w:p w14:paraId="5D00252B" w14:textId="2E2769D1" w:rsidR="002E566C" w:rsidRDefault="002E566C" w:rsidP="002E566C">
      <w:pPr>
        <w:pStyle w:val="ListParagraph"/>
        <w:numPr>
          <w:ilvl w:val="1"/>
          <w:numId w:val="1"/>
        </w:numPr>
        <w:jc w:val="both"/>
      </w:pPr>
      <w:r>
        <w:t>Put together a cheat-sheet of 1-2 pages including guidelin</w:t>
      </w:r>
      <w:r w:rsidR="00680D71">
        <w:t xml:space="preserve">es and </w:t>
      </w:r>
      <w:r>
        <w:t>expectations around equity (e.g. meeting times, arranging flexible work, applying for leave and how requests will be treated). The content of this needs to be developed collegially in order to build a culture of support for the practices it covers.</w:t>
      </w:r>
    </w:p>
    <w:p w14:paraId="699EC6A6" w14:textId="17A390D7" w:rsidR="002E566C" w:rsidRDefault="002E566C" w:rsidP="002E566C">
      <w:pPr>
        <w:pStyle w:val="ListParagraph"/>
        <w:numPr>
          <w:ilvl w:val="1"/>
          <w:numId w:val="1"/>
        </w:numPr>
        <w:jc w:val="both"/>
      </w:pPr>
      <w:r>
        <w:t xml:space="preserve">Ensure that all new staff, at any level, are assigned a mentor for their first year of employment. Develop and document expectations for what the mentoring relationship would cover and how the mentoring process might operate. The </w:t>
      </w:r>
      <w:r w:rsidR="006B7909">
        <w:t>mentor need not be from within P</w:t>
      </w:r>
      <w:r>
        <w:t>hysics, and in many cases there may be advantages to the mentor being external to the department.</w:t>
      </w:r>
    </w:p>
    <w:p w14:paraId="0B37BAF4" w14:textId="77777777" w:rsidR="002E566C" w:rsidRDefault="002E566C" w:rsidP="002E566C">
      <w:pPr>
        <w:pStyle w:val="ListParagraph"/>
        <w:ind w:left="1440"/>
        <w:jc w:val="both"/>
      </w:pPr>
    </w:p>
    <w:p w14:paraId="074FB57C" w14:textId="2F01ED2F" w:rsidR="002E566C" w:rsidRDefault="002E566C" w:rsidP="00795C1F">
      <w:pPr>
        <w:pStyle w:val="ListParagraph"/>
        <w:numPr>
          <w:ilvl w:val="0"/>
          <w:numId w:val="1"/>
        </w:numPr>
        <w:jc w:val="both"/>
      </w:pPr>
      <w:r>
        <w:t>Establish regular staff forums to promote transparency of processes and to share information and expectations.</w:t>
      </w:r>
    </w:p>
    <w:p w14:paraId="17F20F38" w14:textId="02D92725" w:rsidR="002E566C" w:rsidRDefault="007C38BF" w:rsidP="002E566C">
      <w:pPr>
        <w:pStyle w:val="ListParagraph"/>
        <w:numPr>
          <w:ilvl w:val="1"/>
          <w:numId w:val="1"/>
        </w:numPr>
        <w:jc w:val="both"/>
      </w:pPr>
      <w:r>
        <w:t>Pre-schedule</w:t>
      </w:r>
      <w:r w:rsidR="002E566C">
        <w:t xml:space="preserve"> monthly staff meetings as </w:t>
      </w:r>
      <w:r>
        <w:t xml:space="preserve">a </w:t>
      </w:r>
      <w:r w:rsidR="002E566C">
        <w:t xml:space="preserve">forum to hear reports from each departmental committee (research, equity, teaching, </w:t>
      </w:r>
      <w:proofErr w:type="spellStart"/>
      <w:r w:rsidR="002E566C">
        <w:t>HoD</w:t>
      </w:r>
      <w:proofErr w:type="spellEnd"/>
      <w:r w:rsidR="002E566C">
        <w:t xml:space="preserve"> advisory group, et</w:t>
      </w:r>
      <w:r w:rsidR="00680D71">
        <w:t xml:space="preserve"> </w:t>
      </w:r>
      <w:r w:rsidR="002E566C">
        <w:t>c</w:t>
      </w:r>
      <w:r w:rsidR="00680D71">
        <w:t>etera</w:t>
      </w:r>
      <w:r w:rsidR="002E566C">
        <w:t xml:space="preserve">) and discuss current issues or </w:t>
      </w:r>
      <w:r>
        <w:t>future plans</w:t>
      </w:r>
      <w:r w:rsidR="002E566C">
        <w:t>. It is important that these be regular and clearly advertise</w:t>
      </w:r>
      <w:r>
        <w:t>d</w:t>
      </w:r>
      <w:r w:rsidR="002E566C">
        <w:t xml:space="preserve"> as a forum for both information sharing and for gathering feedback. </w:t>
      </w:r>
    </w:p>
    <w:p w14:paraId="3C3EA186" w14:textId="625BDDBC" w:rsidR="002E566C" w:rsidRPr="007E4E19" w:rsidRDefault="002E566C" w:rsidP="00BA2306">
      <w:pPr>
        <w:pStyle w:val="ListParagraph"/>
        <w:numPr>
          <w:ilvl w:val="1"/>
          <w:numId w:val="1"/>
        </w:numPr>
        <w:jc w:val="both"/>
      </w:pPr>
      <w:r>
        <w:t>The annual staff retreat (already in place)</w:t>
      </w:r>
      <w:r>
        <w:rPr>
          <w:color w:val="000000" w:themeColor="text1"/>
        </w:rPr>
        <w:t xml:space="preserve"> is an opportunity for staff to engage in longer term planning</w:t>
      </w:r>
      <w:r w:rsidR="009B5A98">
        <w:rPr>
          <w:color w:val="000000" w:themeColor="text1"/>
        </w:rPr>
        <w:t xml:space="preserve"> and to </w:t>
      </w:r>
      <w:r w:rsidR="00795C1F">
        <w:rPr>
          <w:color w:val="000000" w:themeColor="text1"/>
        </w:rPr>
        <w:t>develop departmental guidelines and processes for improving gender equity</w:t>
      </w:r>
      <w:r w:rsidR="009B5A98">
        <w:rPr>
          <w:color w:val="000000" w:themeColor="text1"/>
        </w:rPr>
        <w:t xml:space="preserve">. </w:t>
      </w:r>
      <w:r w:rsidR="00932ECF">
        <w:rPr>
          <w:color w:val="000000" w:themeColor="text1"/>
        </w:rPr>
        <w:t>There</w:t>
      </w:r>
      <w:r w:rsidR="00BA2306">
        <w:rPr>
          <w:color w:val="000000" w:themeColor="text1"/>
        </w:rPr>
        <w:t xml:space="preserve"> is an opportunity to link </w:t>
      </w:r>
      <w:r w:rsidR="00932ECF">
        <w:rPr>
          <w:color w:val="000000" w:themeColor="text1"/>
        </w:rPr>
        <w:t xml:space="preserve">such planning </w:t>
      </w:r>
      <w:r w:rsidR="00BA2306">
        <w:rPr>
          <w:color w:val="000000" w:themeColor="text1"/>
        </w:rPr>
        <w:t>to Faculty initiati</w:t>
      </w:r>
      <w:r w:rsidR="0031532C">
        <w:rPr>
          <w:color w:val="000000" w:themeColor="text1"/>
        </w:rPr>
        <w:t>ves, such as the recently launc</w:t>
      </w:r>
      <w:r w:rsidR="00BA2306">
        <w:rPr>
          <w:color w:val="000000" w:themeColor="text1"/>
        </w:rPr>
        <w:t xml:space="preserve">hed Gender Equity Platform. </w:t>
      </w:r>
      <w:r w:rsidR="00302E01" w:rsidRPr="00BA2306">
        <w:rPr>
          <w:color w:val="000000" w:themeColor="text1"/>
        </w:rPr>
        <w:t>We would like to suggest that</w:t>
      </w:r>
      <w:r w:rsidR="00BD06D4" w:rsidRPr="00BA2306">
        <w:rPr>
          <w:color w:val="000000" w:themeColor="text1"/>
        </w:rPr>
        <w:t xml:space="preserve"> in the fi</w:t>
      </w:r>
      <w:r w:rsidR="00BA2306" w:rsidRPr="00BA2306">
        <w:rPr>
          <w:color w:val="000000" w:themeColor="text1"/>
        </w:rPr>
        <w:t>r</w:t>
      </w:r>
      <w:r w:rsidR="00BD06D4" w:rsidRPr="00BA2306">
        <w:rPr>
          <w:color w:val="000000" w:themeColor="text1"/>
        </w:rPr>
        <w:t xml:space="preserve">st year, this could focus on </w:t>
      </w:r>
      <w:r w:rsidR="00302E01" w:rsidRPr="00BA2306">
        <w:rPr>
          <w:color w:val="000000" w:themeColor="text1"/>
        </w:rPr>
        <w:t xml:space="preserve">discussing and developing </w:t>
      </w:r>
      <w:r w:rsidR="00EB0EC8">
        <w:rPr>
          <w:color w:val="000000" w:themeColor="text1"/>
        </w:rPr>
        <w:t xml:space="preserve">departmental </w:t>
      </w:r>
      <w:r w:rsidR="00BD06D4" w:rsidRPr="00BA2306">
        <w:rPr>
          <w:color w:val="000000" w:themeColor="text1"/>
        </w:rPr>
        <w:t>expectations and guidelines for gender equity at conferences associated with the department and its staff.</w:t>
      </w:r>
    </w:p>
    <w:p w14:paraId="49C764C6" w14:textId="77777777" w:rsidR="002E566C" w:rsidRDefault="002E566C" w:rsidP="002E566C">
      <w:pPr>
        <w:pStyle w:val="ListParagraph"/>
        <w:ind w:left="1440"/>
        <w:jc w:val="both"/>
      </w:pPr>
    </w:p>
    <w:p w14:paraId="0171EAA2" w14:textId="6BE422F6" w:rsidR="002E566C" w:rsidRDefault="002E566C" w:rsidP="009938C8">
      <w:pPr>
        <w:pStyle w:val="ListParagraph"/>
        <w:numPr>
          <w:ilvl w:val="0"/>
          <w:numId w:val="1"/>
        </w:numPr>
        <w:jc w:val="both"/>
      </w:pPr>
      <w:r>
        <w:t xml:space="preserve">Establish regular reporting and discussion on the state of gender equity in the department. Every 2 years hold a presentation of the current state of equity. This would be a forum to report on progress by the department relating to equity. In the </w:t>
      </w:r>
      <w:r w:rsidR="00795C1F">
        <w:t>future</w:t>
      </w:r>
      <w:r>
        <w:t>, reporting would include presentation of data collected by the department, related to any processes it runs, student demographics and performance, staff demographics, co</w:t>
      </w:r>
      <w:r w:rsidR="001C04C9">
        <w:t>lloquium speaker statistics, et cetera</w:t>
      </w:r>
      <w:r>
        <w:t xml:space="preserve">. </w:t>
      </w:r>
    </w:p>
    <w:p w14:paraId="0A42EF25" w14:textId="77777777" w:rsidR="002E566C" w:rsidRDefault="002E566C" w:rsidP="002E566C">
      <w:pPr>
        <w:ind w:firstLine="720"/>
        <w:jc w:val="both"/>
      </w:pPr>
      <w:r>
        <w:t>We propose that this year we should cover:</w:t>
      </w:r>
    </w:p>
    <w:p w14:paraId="44DD0AF3" w14:textId="70E0DEE7" w:rsidR="002E566C" w:rsidRDefault="002E566C" w:rsidP="002E566C">
      <w:pPr>
        <w:pStyle w:val="ListParagraph"/>
        <w:numPr>
          <w:ilvl w:val="1"/>
          <w:numId w:val="1"/>
        </w:numPr>
        <w:jc w:val="both"/>
      </w:pPr>
      <w:r>
        <w:t>Presentation</w:t>
      </w:r>
      <w:r w:rsidR="00582330" w:rsidRPr="00582330">
        <w:t xml:space="preserve"> </w:t>
      </w:r>
      <w:r w:rsidR="00582330">
        <w:t>at a staff seminar</w:t>
      </w:r>
      <w:r>
        <w:t xml:space="preserve"> of </w:t>
      </w:r>
      <w:r w:rsidR="00582330">
        <w:t xml:space="preserve">the </w:t>
      </w:r>
      <w:r>
        <w:t xml:space="preserve">work by Steven Turnbull </w:t>
      </w:r>
      <w:r w:rsidR="00582330">
        <w:t>on analysis of gender effects in</w:t>
      </w:r>
      <w:r>
        <w:t xml:space="preserve"> student </w:t>
      </w:r>
      <w:r w:rsidR="00582330">
        <w:t xml:space="preserve">performance </w:t>
      </w:r>
      <w:r>
        <w:t>data</w:t>
      </w:r>
      <w:r w:rsidR="00582330">
        <w:t>;</w:t>
      </w:r>
      <w:r>
        <w:t xml:space="preserve"> followed by discussion.</w:t>
      </w:r>
    </w:p>
    <w:p w14:paraId="6EF9ED92" w14:textId="6283DF54" w:rsidR="002E566C" w:rsidRDefault="005F05F7" w:rsidP="002E566C">
      <w:pPr>
        <w:pStyle w:val="ListParagraph"/>
        <w:numPr>
          <w:ilvl w:val="1"/>
          <w:numId w:val="1"/>
        </w:numPr>
        <w:jc w:val="both"/>
      </w:pPr>
      <w:r>
        <w:t>At one of the monthly PhD meetings,</w:t>
      </w:r>
      <w:r w:rsidR="002E566C">
        <w:t xml:space="preserve"> hold a similar discussion with PhD students and discuss potential initiatives with students. </w:t>
      </w:r>
    </w:p>
    <w:p w14:paraId="051BE1BE" w14:textId="1319F203" w:rsidR="002E566C" w:rsidRDefault="002E566C" w:rsidP="002E566C">
      <w:pPr>
        <w:pStyle w:val="ListParagraph"/>
        <w:numPr>
          <w:ilvl w:val="1"/>
          <w:numId w:val="1"/>
        </w:numPr>
        <w:jc w:val="both"/>
      </w:pPr>
      <w:r>
        <w:t xml:space="preserve">Presentation of </w:t>
      </w:r>
      <w:r w:rsidR="00B70625">
        <w:t xml:space="preserve">these </w:t>
      </w:r>
      <w:r>
        <w:t>su</w:t>
      </w:r>
      <w:r w:rsidR="00C45A39">
        <w:t>rvey results at a staff meeting;</w:t>
      </w:r>
      <w:r>
        <w:t xml:space="preserve"> followed by discussion.</w:t>
      </w:r>
    </w:p>
    <w:p w14:paraId="19AFF87D" w14:textId="77777777" w:rsidR="002E566C" w:rsidRDefault="002E566C" w:rsidP="002E566C">
      <w:pPr>
        <w:pStyle w:val="ListParagraph"/>
        <w:ind w:left="1440"/>
        <w:jc w:val="both"/>
      </w:pPr>
    </w:p>
    <w:p w14:paraId="5356C249" w14:textId="7C1B776F" w:rsidR="000022A9" w:rsidRDefault="002E566C" w:rsidP="002E566C">
      <w:pPr>
        <w:pStyle w:val="ListParagraph"/>
        <w:numPr>
          <w:ilvl w:val="0"/>
          <w:numId w:val="1"/>
        </w:numPr>
        <w:jc w:val="both"/>
      </w:pPr>
      <w:r w:rsidRPr="007E4E19">
        <w:lastRenderedPageBreak/>
        <w:t xml:space="preserve">Establish guidelines for departmental expectations for </w:t>
      </w:r>
      <w:r w:rsidRPr="007E4E19">
        <w:rPr>
          <w:i/>
          <w:iCs/>
        </w:rPr>
        <w:t>any</w:t>
      </w:r>
      <w:r w:rsidRPr="007E4E19">
        <w:t xml:space="preserve"> open rec</w:t>
      </w:r>
      <w:r w:rsidR="0080050F">
        <w:t>r</w:t>
      </w:r>
      <w:r w:rsidRPr="007E4E19">
        <w:t xml:space="preserve">uitment processes, from selection of </w:t>
      </w:r>
      <w:r w:rsidR="00C243C0">
        <w:t>summer students</w:t>
      </w:r>
      <w:r w:rsidR="00B70625">
        <w:t>,</w:t>
      </w:r>
      <w:r w:rsidRPr="007E4E19">
        <w:t xml:space="preserve"> though to appointment of staff. These </w:t>
      </w:r>
      <w:r>
        <w:t xml:space="preserve">guidelines </w:t>
      </w:r>
      <w:r w:rsidRPr="007E4E19">
        <w:t>should ensure that any such processes begin by planning to ensure gender equity</w:t>
      </w:r>
      <w:r>
        <w:t xml:space="preserve">. </w:t>
      </w:r>
      <w:r w:rsidR="00C243C0">
        <w:t xml:space="preserve"> </w:t>
      </w:r>
    </w:p>
    <w:p w14:paraId="0EDC8B4F" w14:textId="4268482E" w:rsidR="002E566C" w:rsidRDefault="002E566C" w:rsidP="000022A9">
      <w:pPr>
        <w:pStyle w:val="ListParagraph"/>
        <w:ind w:firstLine="0"/>
        <w:jc w:val="both"/>
      </w:pPr>
      <w:r>
        <w:t>Steps might include:</w:t>
      </w:r>
    </w:p>
    <w:p w14:paraId="3DD91C82" w14:textId="577D5D92" w:rsidR="002E566C" w:rsidRDefault="002E566C" w:rsidP="002E566C">
      <w:pPr>
        <w:pStyle w:val="ListParagraph"/>
        <w:numPr>
          <w:ilvl w:val="1"/>
          <w:numId w:val="1"/>
        </w:numPr>
        <w:jc w:val="both"/>
      </w:pPr>
      <w:r>
        <w:t>Ensuring that</w:t>
      </w:r>
      <w:r w:rsidRPr="007E4E19">
        <w:t xml:space="preserve"> people involved in the process have participate</w:t>
      </w:r>
      <w:r>
        <w:t>d in unconscious bias training</w:t>
      </w:r>
      <w:r w:rsidR="00C45A39">
        <w:t>.</w:t>
      </w:r>
    </w:p>
    <w:p w14:paraId="4D2773A7" w14:textId="7F7B8E84" w:rsidR="002E566C" w:rsidRDefault="002E566C" w:rsidP="002E566C">
      <w:pPr>
        <w:pStyle w:val="ListParagraph"/>
        <w:numPr>
          <w:ilvl w:val="1"/>
          <w:numId w:val="1"/>
        </w:numPr>
        <w:jc w:val="both"/>
      </w:pPr>
      <w:r>
        <w:t xml:space="preserve">Checking </w:t>
      </w:r>
      <w:r w:rsidRPr="007E4E19">
        <w:t xml:space="preserve">that job descriptions and </w:t>
      </w:r>
      <w:r w:rsidR="0080050F" w:rsidRPr="007E4E19">
        <w:t>advertisements</w:t>
      </w:r>
      <w:r w:rsidRPr="007E4E19">
        <w:t xml:space="preserve"> are worded so as to engage</w:t>
      </w:r>
      <w:r>
        <w:t xml:space="preserve"> with under-represented groups</w:t>
      </w:r>
      <w:r w:rsidR="00C45A39">
        <w:t>.</w:t>
      </w:r>
    </w:p>
    <w:p w14:paraId="7D8CB1FE" w14:textId="5BE0BB46" w:rsidR="002E566C" w:rsidRPr="007E4E19" w:rsidRDefault="002E566C" w:rsidP="002E566C">
      <w:pPr>
        <w:pStyle w:val="ListParagraph"/>
        <w:numPr>
          <w:ilvl w:val="1"/>
          <w:numId w:val="1"/>
        </w:numPr>
        <w:jc w:val="both"/>
      </w:pPr>
      <w:r>
        <w:t>Ensuring that data on gender is recorded at each stage of the selection process</w:t>
      </w:r>
      <w:r w:rsidR="00C45A39">
        <w:t xml:space="preserve">. Where these processes are led externally to the department, it will be necessary for the </w:t>
      </w:r>
      <w:proofErr w:type="spellStart"/>
      <w:r w:rsidR="00C45A39">
        <w:t>HoD</w:t>
      </w:r>
      <w:proofErr w:type="spellEnd"/>
      <w:r w:rsidR="00C45A39">
        <w:t xml:space="preserve"> or a senior staff member to advocate on behalf of the department to ensure that data is collected and shared.</w:t>
      </w:r>
    </w:p>
    <w:p w14:paraId="199565CC" w14:textId="77777777" w:rsidR="002E566C" w:rsidRPr="007E4E19" w:rsidRDefault="002E566C" w:rsidP="002E566C">
      <w:pPr>
        <w:pStyle w:val="ListParagraph"/>
        <w:jc w:val="both"/>
      </w:pPr>
    </w:p>
    <w:p w14:paraId="136EF4CA" w14:textId="77777777" w:rsidR="002E566C" w:rsidRPr="007E4E19" w:rsidRDefault="002E566C" w:rsidP="002E566C">
      <w:pPr>
        <w:pStyle w:val="ListParagraph"/>
        <w:numPr>
          <w:ilvl w:val="0"/>
          <w:numId w:val="1"/>
        </w:numPr>
        <w:jc w:val="both"/>
      </w:pPr>
      <w:r w:rsidRPr="007E4E19">
        <w:t>Identify departmental processes where it is possible to collect data for monitoring gender equity (and other diversity relevant statistics). Document expectations about:</w:t>
      </w:r>
    </w:p>
    <w:p w14:paraId="6AD489C4" w14:textId="48F6C20E" w:rsidR="00C45A39" w:rsidRDefault="00C45A39" w:rsidP="002E566C">
      <w:pPr>
        <w:pStyle w:val="ListParagraph"/>
        <w:numPr>
          <w:ilvl w:val="1"/>
          <w:numId w:val="1"/>
        </w:numPr>
        <w:jc w:val="both"/>
      </w:pPr>
      <w:r>
        <w:t>Data collection:</w:t>
      </w:r>
    </w:p>
    <w:p w14:paraId="0983A64A" w14:textId="2606BBB5" w:rsidR="00C45A39" w:rsidRDefault="00C45A39" w:rsidP="00C45A39">
      <w:pPr>
        <w:pStyle w:val="ListParagraph"/>
        <w:numPr>
          <w:ilvl w:val="2"/>
          <w:numId w:val="1"/>
        </w:numPr>
        <w:jc w:val="both"/>
      </w:pPr>
      <w:r>
        <w:t>W</w:t>
      </w:r>
      <w:r w:rsidR="002E566C" w:rsidRPr="007E4E19">
        <w:t>h</w:t>
      </w:r>
      <w:r>
        <w:t xml:space="preserve">ich processes will be monitored? </w:t>
      </w:r>
    </w:p>
    <w:p w14:paraId="7DEE5B5E" w14:textId="77777777" w:rsidR="00C45A39" w:rsidRDefault="00C45A39" w:rsidP="00C45A39">
      <w:pPr>
        <w:pStyle w:val="ListParagraph"/>
        <w:numPr>
          <w:ilvl w:val="2"/>
          <w:numId w:val="1"/>
        </w:numPr>
        <w:jc w:val="both"/>
      </w:pPr>
      <w:r>
        <w:t xml:space="preserve">What will be recorded? </w:t>
      </w:r>
    </w:p>
    <w:p w14:paraId="22B1AD45" w14:textId="53D0936D" w:rsidR="002E566C" w:rsidRPr="007E4E19" w:rsidRDefault="00C45A39" w:rsidP="00C45A39">
      <w:pPr>
        <w:pStyle w:val="ListParagraph"/>
        <w:numPr>
          <w:ilvl w:val="2"/>
          <w:numId w:val="1"/>
        </w:numPr>
        <w:jc w:val="both"/>
      </w:pPr>
      <w:r>
        <w:t>W</w:t>
      </w:r>
      <w:r w:rsidR="002E566C" w:rsidRPr="007E4E19">
        <w:t xml:space="preserve">ho is </w:t>
      </w:r>
      <w:r w:rsidR="0080050F" w:rsidRPr="007E4E19">
        <w:t>responsible</w:t>
      </w:r>
      <w:r w:rsidR="002E566C" w:rsidRPr="007E4E19">
        <w:t xml:space="preserve"> for </w:t>
      </w:r>
      <w:r w:rsidR="0080050F" w:rsidRPr="007E4E19">
        <w:t>ensuring</w:t>
      </w:r>
      <w:r w:rsidR="002E566C" w:rsidRPr="007E4E19">
        <w:t xml:space="preserve"> that data collection takes place</w:t>
      </w:r>
      <w:r>
        <w:t>?</w:t>
      </w:r>
    </w:p>
    <w:p w14:paraId="3D7F6F8C" w14:textId="77777777" w:rsidR="00C45A39" w:rsidRDefault="00C45A39" w:rsidP="002E566C">
      <w:pPr>
        <w:pStyle w:val="ListParagraph"/>
        <w:numPr>
          <w:ilvl w:val="1"/>
          <w:numId w:val="1"/>
        </w:numPr>
        <w:jc w:val="both"/>
      </w:pPr>
      <w:r>
        <w:t>Data use and storage:</w:t>
      </w:r>
    </w:p>
    <w:p w14:paraId="6D897B53" w14:textId="7C62FE49" w:rsidR="00C45A39" w:rsidRDefault="00C45A39" w:rsidP="00C45A39">
      <w:pPr>
        <w:pStyle w:val="ListParagraph"/>
        <w:numPr>
          <w:ilvl w:val="2"/>
          <w:numId w:val="1"/>
        </w:numPr>
        <w:jc w:val="both"/>
      </w:pPr>
      <w:r>
        <w:t>W</w:t>
      </w:r>
      <w:r w:rsidR="002E566C" w:rsidRPr="007E4E19">
        <w:t>ho should have</w:t>
      </w:r>
      <w:r>
        <w:t xml:space="preserve"> access to any records?</w:t>
      </w:r>
    </w:p>
    <w:p w14:paraId="7CC24089" w14:textId="77777777" w:rsidR="00C45A39" w:rsidRDefault="00C45A39" w:rsidP="00C45A39">
      <w:pPr>
        <w:pStyle w:val="ListParagraph"/>
        <w:numPr>
          <w:ilvl w:val="2"/>
          <w:numId w:val="1"/>
        </w:numPr>
        <w:jc w:val="both"/>
      </w:pPr>
      <w:r>
        <w:t>H</w:t>
      </w:r>
      <w:r w:rsidR="002E566C" w:rsidRPr="007E4E19">
        <w:t xml:space="preserve">ow will data be </w:t>
      </w:r>
      <w:r w:rsidR="0080050F" w:rsidRPr="007E4E19">
        <w:t>stored</w:t>
      </w:r>
      <w:r>
        <w:t xml:space="preserve">? </w:t>
      </w:r>
    </w:p>
    <w:p w14:paraId="1550F946" w14:textId="0BCD08A0" w:rsidR="002E566C" w:rsidRPr="007E4E19" w:rsidRDefault="00C45A39" w:rsidP="00C45A39">
      <w:pPr>
        <w:pStyle w:val="ListParagraph"/>
        <w:numPr>
          <w:ilvl w:val="2"/>
          <w:numId w:val="1"/>
        </w:numPr>
        <w:jc w:val="both"/>
      </w:pPr>
      <w:r>
        <w:t>H</w:t>
      </w:r>
      <w:r w:rsidR="002E566C" w:rsidRPr="007E4E19">
        <w:t xml:space="preserve">ow will the </w:t>
      </w:r>
      <w:r w:rsidR="0080050F">
        <w:t>department</w:t>
      </w:r>
      <w:r w:rsidR="002E566C" w:rsidRPr="007E4E19">
        <w:t xml:space="preserve"> keep track of what records it holds</w:t>
      </w:r>
      <w:r>
        <w:t>?</w:t>
      </w:r>
    </w:p>
    <w:p w14:paraId="44F8B5F5" w14:textId="77777777" w:rsidR="00C45A39" w:rsidRDefault="002E566C" w:rsidP="002E566C">
      <w:pPr>
        <w:pStyle w:val="ListParagraph"/>
        <w:numPr>
          <w:ilvl w:val="1"/>
          <w:numId w:val="1"/>
        </w:numPr>
        <w:jc w:val="both"/>
      </w:pPr>
      <w:r w:rsidRPr="007E4E19">
        <w:t xml:space="preserve">Data analysis </w:t>
      </w:r>
      <w:r w:rsidR="00C45A39">
        <w:t>and reporting:</w:t>
      </w:r>
    </w:p>
    <w:p w14:paraId="0E706246" w14:textId="77777777" w:rsidR="00C45A39" w:rsidRDefault="00C45A39" w:rsidP="00C45A39">
      <w:pPr>
        <w:pStyle w:val="ListParagraph"/>
        <w:numPr>
          <w:ilvl w:val="2"/>
          <w:numId w:val="1"/>
        </w:numPr>
        <w:jc w:val="both"/>
      </w:pPr>
      <w:r>
        <w:t>H</w:t>
      </w:r>
      <w:r w:rsidR="002E566C" w:rsidRPr="007E4E19">
        <w:t>ow frequently will d</w:t>
      </w:r>
      <w:r>
        <w:t>ata be analysed and reported on?</w:t>
      </w:r>
    </w:p>
    <w:p w14:paraId="5E77B7A9" w14:textId="6B5BCE5E" w:rsidR="002E566C" w:rsidRPr="007E4E19" w:rsidRDefault="00C45A39" w:rsidP="00C45A39">
      <w:pPr>
        <w:pStyle w:val="ListParagraph"/>
        <w:numPr>
          <w:ilvl w:val="2"/>
          <w:numId w:val="1"/>
        </w:numPr>
        <w:jc w:val="both"/>
      </w:pPr>
      <w:r>
        <w:t>Who will be responsible for this?</w:t>
      </w:r>
    </w:p>
    <w:p w14:paraId="31CDC84E" w14:textId="77777777" w:rsidR="002E566C" w:rsidRDefault="002E566C" w:rsidP="002E566C">
      <w:pPr>
        <w:ind w:firstLine="720"/>
      </w:pPr>
    </w:p>
    <w:p w14:paraId="3E8A201E" w14:textId="77777777" w:rsidR="004F2E8B" w:rsidRDefault="004F2E8B"/>
    <w:sectPr w:rsidR="004F2E8B" w:rsidSect="0052004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6ED9C" w14:textId="77777777" w:rsidR="003123C4" w:rsidRDefault="003123C4" w:rsidP="00A8411F">
      <w:r>
        <w:separator/>
      </w:r>
    </w:p>
  </w:endnote>
  <w:endnote w:type="continuationSeparator" w:id="0">
    <w:p w14:paraId="439E6EC0" w14:textId="77777777" w:rsidR="003123C4" w:rsidRDefault="003123C4" w:rsidP="00A8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7240C" w14:textId="77777777" w:rsidR="00F65B2A" w:rsidRDefault="00F65B2A" w:rsidP="00A841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8282F6" w14:textId="77777777" w:rsidR="00F65B2A" w:rsidRDefault="00F65B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62029" w14:textId="6EF1D9B5" w:rsidR="00F65B2A" w:rsidRDefault="00F65B2A" w:rsidP="00A841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5D7B">
      <w:rPr>
        <w:rStyle w:val="PageNumber"/>
        <w:noProof/>
      </w:rPr>
      <w:t>12</w:t>
    </w:r>
    <w:r>
      <w:rPr>
        <w:rStyle w:val="PageNumber"/>
      </w:rPr>
      <w:fldChar w:fldCharType="end"/>
    </w:r>
  </w:p>
  <w:p w14:paraId="7268273C" w14:textId="77777777" w:rsidR="00F65B2A" w:rsidRDefault="00F65B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DEA0C" w14:textId="77777777" w:rsidR="003123C4" w:rsidRDefault="003123C4" w:rsidP="00A8411F">
      <w:r>
        <w:separator/>
      </w:r>
    </w:p>
  </w:footnote>
  <w:footnote w:type="continuationSeparator" w:id="0">
    <w:p w14:paraId="5D47DD8D" w14:textId="77777777" w:rsidR="003123C4" w:rsidRDefault="003123C4" w:rsidP="00A841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A4E4E"/>
    <w:multiLevelType w:val="hybridMultilevel"/>
    <w:tmpl w:val="E918EF2C"/>
    <w:lvl w:ilvl="0" w:tplc="14090011">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226604AE">
      <w:start w:val="1"/>
      <w:numFmt w:val="bullet"/>
      <w:lvlText w:val=""/>
      <w:lvlJc w:val="left"/>
      <w:pPr>
        <w:ind w:left="2340" w:hanging="360"/>
      </w:pPr>
      <w:rPr>
        <w:rFonts w:ascii="Symbol" w:hAnsi="Symbol"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6C"/>
    <w:rsid w:val="000022A9"/>
    <w:rsid w:val="00024C95"/>
    <w:rsid w:val="00032146"/>
    <w:rsid w:val="00043DAA"/>
    <w:rsid w:val="00055E58"/>
    <w:rsid w:val="00070138"/>
    <w:rsid w:val="000941E2"/>
    <w:rsid w:val="000B2209"/>
    <w:rsid w:val="000B3829"/>
    <w:rsid w:val="000D0BAB"/>
    <w:rsid w:val="000E524A"/>
    <w:rsid w:val="001367C1"/>
    <w:rsid w:val="00143761"/>
    <w:rsid w:val="001534B6"/>
    <w:rsid w:val="001710CE"/>
    <w:rsid w:val="001746BE"/>
    <w:rsid w:val="001775E4"/>
    <w:rsid w:val="00183AAE"/>
    <w:rsid w:val="001878FC"/>
    <w:rsid w:val="00192FB9"/>
    <w:rsid w:val="001966A3"/>
    <w:rsid w:val="001B5939"/>
    <w:rsid w:val="001B60CE"/>
    <w:rsid w:val="001C04C9"/>
    <w:rsid w:val="001C2595"/>
    <w:rsid w:val="001D269A"/>
    <w:rsid w:val="001E0C95"/>
    <w:rsid w:val="001F27F5"/>
    <w:rsid w:val="001F3E12"/>
    <w:rsid w:val="001F7C59"/>
    <w:rsid w:val="00206608"/>
    <w:rsid w:val="0021309A"/>
    <w:rsid w:val="00216D72"/>
    <w:rsid w:val="00235F47"/>
    <w:rsid w:val="00240290"/>
    <w:rsid w:val="00242EC8"/>
    <w:rsid w:val="00263EBB"/>
    <w:rsid w:val="002706C0"/>
    <w:rsid w:val="00285084"/>
    <w:rsid w:val="0028794E"/>
    <w:rsid w:val="0029480E"/>
    <w:rsid w:val="002A7E0C"/>
    <w:rsid w:val="002B4200"/>
    <w:rsid w:val="002B5D7B"/>
    <w:rsid w:val="002B677D"/>
    <w:rsid w:val="002C0C9C"/>
    <w:rsid w:val="002C4CB3"/>
    <w:rsid w:val="002E38B5"/>
    <w:rsid w:val="002E566C"/>
    <w:rsid w:val="002E7F24"/>
    <w:rsid w:val="00302E01"/>
    <w:rsid w:val="00304E60"/>
    <w:rsid w:val="003123C4"/>
    <w:rsid w:val="0031532C"/>
    <w:rsid w:val="00336DB7"/>
    <w:rsid w:val="00340E7A"/>
    <w:rsid w:val="003457C2"/>
    <w:rsid w:val="0034660F"/>
    <w:rsid w:val="00352516"/>
    <w:rsid w:val="00353E22"/>
    <w:rsid w:val="0038214B"/>
    <w:rsid w:val="00391352"/>
    <w:rsid w:val="00393577"/>
    <w:rsid w:val="003B11C5"/>
    <w:rsid w:val="003B265C"/>
    <w:rsid w:val="003E5805"/>
    <w:rsid w:val="0041603B"/>
    <w:rsid w:val="0042628C"/>
    <w:rsid w:val="00432D46"/>
    <w:rsid w:val="00447309"/>
    <w:rsid w:val="00465B1A"/>
    <w:rsid w:val="00474782"/>
    <w:rsid w:val="004A6571"/>
    <w:rsid w:val="004B0E55"/>
    <w:rsid w:val="004C2E52"/>
    <w:rsid w:val="004C7EF9"/>
    <w:rsid w:val="004D4BD5"/>
    <w:rsid w:val="004D4F5D"/>
    <w:rsid w:val="004D7999"/>
    <w:rsid w:val="004F2E8B"/>
    <w:rsid w:val="004F5133"/>
    <w:rsid w:val="004F6A2C"/>
    <w:rsid w:val="00500C71"/>
    <w:rsid w:val="00503380"/>
    <w:rsid w:val="00505DC7"/>
    <w:rsid w:val="005060F9"/>
    <w:rsid w:val="0050772E"/>
    <w:rsid w:val="00520044"/>
    <w:rsid w:val="0052452E"/>
    <w:rsid w:val="00531411"/>
    <w:rsid w:val="00533F06"/>
    <w:rsid w:val="005506CC"/>
    <w:rsid w:val="00560AD9"/>
    <w:rsid w:val="005739C3"/>
    <w:rsid w:val="00582330"/>
    <w:rsid w:val="005916FC"/>
    <w:rsid w:val="005A045D"/>
    <w:rsid w:val="005E5246"/>
    <w:rsid w:val="005E5F0F"/>
    <w:rsid w:val="005F05F7"/>
    <w:rsid w:val="005F4098"/>
    <w:rsid w:val="00605790"/>
    <w:rsid w:val="006131C6"/>
    <w:rsid w:val="00614198"/>
    <w:rsid w:val="00623F22"/>
    <w:rsid w:val="006457B3"/>
    <w:rsid w:val="00666AE5"/>
    <w:rsid w:val="00666E4E"/>
    <w:rsid w:val="006727A0"/>
    <w:rsid w:val="00675A25"/>
    <w:rsid w:val="00680D71"/>
    <w:rsid w:val="00696524"/>
    <w:rsid w:val="0069724C"/>
    <w:rsid w:val="006A5B90"/>
    <w:rsid w:val="006B7909"/>
    <w:rsid w:val="006C2802"/>
    <w:rsid w:val="006C416B"/>
    <w:rsid w:val="006D3365"/>
    <w:rsid w:val="006D3704"/>
    <w:rsid w:val="006D4FD5"/>
    <w:rsid w:val="006D6E6B"/>
    <w:rsid w:val="006E640C"/>
    <w:rsid w:val="006F161F"/>
    <w:rsid w:val="00734B55"/>
    <w:rsid w:val="007413A7"/>
    <w:rsid w:val="007449CE"/>
    <w:rsid w:val="00745A96"/>
    <w:rsid w:val="007461BD"/>
    <w:rsid w:val="0077170F"/>
    <w:rsid w:val="00784C85"/>
    <w:rsid w:val="00790D34"/>
    <w:rsid w:val="00795C1F"/>
    <w:rsid w:val="00796C73"/>
    <w:rsid w:val="007A4813"/>
    <w:rsid w:val="007A51D8"/>
    <w:rsid w:val="007B31EC"/>
    <w:rsid w:val="007B688F"/>
    <w:rsid w:val="007B7EE7"/>
    <w:rsid w:val="007C38BF"/>
    <w:rsid w:val="007C7C5E"/>
    <w:rsid w:val="007E2071"/>
    <w:rsid w:val="007F1A5C"/>
    <w:rsid w:val="0080050F"/>
    <w:rsid w:val="00803DBB"/>
    <w:rsid w:val="00816650"/>
    <w:rsid w:val="00823270"/>
    <w:rsid w:val="008365FA"/>
    <w:rsid w:val="008437D0"/>
    <w:rsid w:val="00844B21"/>
    <w:rsid w:val="00845CF8"/>
    <w:rsid w:val="008554EF"/>
    <w:rsid w:val="00857397"/>
    <w:rsid w:val="0086175C"/>
    <w:rsid w:val="0087622B"/>
    <w:rsid w:val="00883E72"/>
    <w:rsid w:val="008A2752"/>
    <w:rsid w:val="008B1380"/>
    <w:rsid w:val="008C5954"/>
    <w:rsid w:val="008E6DAD"/>
    <w:rsid w:val="008F088C"/>
    <w:rsid w:val="00904AF6"/>
    <w:rsid w:val="00906DDF"/>
    <w:rsid w:val="009178B3"/>
    <w:rsid w:val="00932ECF"/>
    <w:rsid w:val="009417AF"/>
    <w:rsid w:val="009636C6"/>
    <w:rsid w:val="00980EA5"/>
    <w:rsid w:val="009938C8"/>
    <w:rsid w:val="009A2339"/>
    <w:rsid w:val="009B4DB0"/>
    <w:rsid w:val="009B5A98"/>
    <w:rsid w:val="009B7F4C"/>
    <w:rsid w:val="009C3617"/>
    <w:rsid w:val="009C59A6"/>
    <w:rsid w:val="009C74F1"/>
    <w:rsid w:val="009E698A"/>
    <w:rsid w:val="009F1823"/>
    <w:rsid w:val="009F1CC9"/>
    <w:rsid w:val="00A02128"/>
    <w:rsid w:val="00A40BB3"/>
    <w:rsid w:val="00A52D4C"/>
    <w:rsid w:val="00A5767F"/>
    <w:rsid w:val="00A71043"/>
    <w:rsid w:val="00A73DAD"/>
    <w:rsid w:val="00A8411F"/>
    <w:rsid w:val="00A93234"/>
    <w:rsid w:val="00A93F00"/>
    <w:rsid w:val="00AA2A98"/>
    <w:rsid w:val="00AB13E4"/>
    <w:rsid w:val="00AE532C"/>
    <w:rsid w:val="00AF34D0"/>
    <w:rsid w:val="00AF614B"/>
    <w:rsid w:val="00B014D0"/>
    <w:rsid w:val="00B02C13"/>
    <w:rsid w:val="00B3159C"/>
    <w:rsid w:val="00B4163F"/>
    <w:rsid w:val="00B463E3"/>
    <w:rsid w:val="00B70625"/>
    <w:rsid w:val="00B70EBC"/>
    <w:rsid w:val="00B75277"/>
    <w:rsid w:val="00B93EFF"/>
    <w:rsid w:val="00B956B4"/>
    <w:rsid w:val="00BA2306"/>
    <w:rsid w:val="00BB3578"/>
    <w:rsid w:val="00BC7893"/>
    <w:rsid w:val="00BD06D4"/>
    <w:rsid w:val="00BE314A"/>
    <w:rsid w:val="00BF2894"/>
    <w:rsid w:val="00C02E63"/>
    <w:rsid w:val="00C046A3"/>
    <w:rsid w:val="00C07081"/>
    <w:rsid w:val="00C101EE"/>
    <w:rsid w:val="00C243BB"/>
    <w:rsid w:val="00C243C0"/>
    <w:rsid w:val="00C41249"/>
    <w:rsid w:val="00C45A39"/>
    <w:rsid w:val="00C473D8"/>
    <w:rsid w:val="00C47916"/>
    <w:rsid w:val="00C47EC1"/>
    <w:rsid w:val="00C517ED"/>
    <w:rsid w:val="00C56B8A"/>
    <w:rsid w:val="00C640FB"/>
    <w:rsid w:val="00C771B4"/>
    <w:rsid w:val="00C84D78"/>
    <w:rsid w:val="00C933A1"/>
    <w:rsid w:val="00C943B4"/>
    <w:rsid w:val="00CA3702"/>
    <w:rsid w:val="00CB2216"/>
    <w:rsid w:val="00CD45BE"/>
    <w:rsid w:val="00CD5EFA"/>
    <w:rsid w:val="00D23504"/>
    <w:rsid w:val="00D33585"/>
    <w:rsid w:val="00D50E47"/>
    <w:rsid w:val="00D51982"/>
    <w:rsid w:val="00D52C27"/>
    <w:rsid w:val="00D73606"/>
    <w:rsid w:val="00D81357"/>
    <w:rsid w:val="00D9039D"/>
    <w:rsid w:val="00DA15F8"/>
    <w:rsid w:val="00DC0B25"/>
    <w:rsid w:val="00DD1329"/>
    <w:rsid w:val="00DD22C6"/>
    <w:rsid w:val="00DD7007"/>
    <w:rsid w:val="00DF1AC3"/>
    <w:rsid w:val="00DF2D51"/>
    <w:rsid w:val="00E00702"/>
    <w:rsid w:val="00E01AD6"/>
    <w:rsid w:val="00E128DC"/>
    <w:rsid w:val="00E3020F"/>
    <w:rsid w:val="00E47E42"/>
    <w:rsid w:val="00E53372"/>
    <w:rsid w:val="00E72DF1"/>
    <w:rsid w:val="00E7769B"/>
    <w:rsid w:val="00E80659"/>
    <w:rsid w:val="00E932C5"/>
    <w:rsid w:val="00E93DF4"/>
    <w:rsid w:val="00EB0EC8"/>
    <w:rsid w:val="00EB1D74"/>
    <w:rsid w:val="00EE09D5"/>
    <w:rsid w:val="00F0027B"/>
    <w:rsid w:val="00F02E7D"/>
    <w:rsid w:val="00F035C3"/>
    <w:rsid w:val="00F108A1"/>
    <w:rsid w:val="00F12114"/>
    <w:rsid w:val="00F13ED6"/>
    <w:rsid w:val="00F22309"/>
    <w:rsid w:val="00F3701C"/>
    <w:rsid w:val="00F52F8A"/>
    <w:rsid w:val="00F64B3D"/>
    <w:rsid w:val="00F65B2A"/>
    <w:rsid w:val="00F67C27"/>
    <w:rsid w:val="00F706FF"/>
    <w:rsid w:val="00F70A92"/>
    <w:rsid w:val="00F9120E"/>
    <w:rsid w:val="00FC43AD"/>
    <w:rsid w:val="00FD387A"/>
    <w:rsid w:val="00FF4C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A7B8E"/>
  <w14:defaultImageDpi w14:val="300"/>
  <w15:docId w15:val="{BD0EA905-E779-4E33-AFA5-CA7AAED8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FD5"/>
  </w:style>
  <w:style w:type="paragraph" w:styleId="Heading1">
    <w:name w:val="heading 1"/>
    <w:basedOn w:val="Normal"/>
    <w:next w:val="Normal"/>
    <w:link w:val="Heading1Char"/>
    <w:uiPriority w:val="9"/>
    <w:qFormat/>
    <w:rsid w:val="006D4FD5"/>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6D4FD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6D4FD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6D4FD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6D4FD5"/>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D4FD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D4FD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D4FD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D4FD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FD5"/>
    <w:pPr>
      <w:ind w:left="720"/>
      <w:contextualSpacing/>
    </w:pPr>
  </w:style>
  <w:style w:type="table" w:styleId="TableGrid">
    <w:name w:val="Table Grid"/>
    <w:basedOn w:val="TableNormal"/>
    <w:uiPriority w:val="39"/>
    <w:rsid w:val="002E566C"/>
    <w:rPr>
      <w:rFonts w:eastAsiaTheme="minorHAnsi"/>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4FD5"/>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unhideWhenUsed/>
    <w:qFormat/>
    <w:rsid w:val="006D4FD5"/>
    <w:pPr>
      <w:outlineLvl w:val="9"/>
    </w:pPr>
    <w:rPr>
      <w:lang w:bidi="en-US"/>
    </w:rPr>
  </w:style>
  <w:style w:type="paragraph" w:styleId="BalloonText">
    <w:name w:val="Balloon Text"/>
    <w:basedOn w:val="Normal"/>
    <w:link w:val="BalloonTextChar"/>
    <w:uiPriority w:val="99"/>
    <w:semiHidden/>
    <w:unhideWhenUsed/>
    <w:rsid w:val="002E566C"/>
    <w:rPr>
      <w:rFonts w:ascii="Lucida Grande" w:hAnsi="Lucida Grande"/>
      <w:sz w:val="18"/>
      <w:szCs w:val="18"/>
    </w:rPr>
  </w:style>
  <w:style w:type="character" w:customStyle="1" w:styleId="BalloonTextChar">
    <w:name w:val="Balloon Text Char"/>
    <w:basedOn w:val="DefaultParagraphFont"/>
    <w:link w:val="BalloonText"/>
    <w:uiPriority w:val="99"/>
    <w:semiHidden/>
    <w:rsid w:val="002E566C"/>
    <w:rPr>
      <w:rFonts w:ascii="Lucida Grande" w:hAnsi="Lucida Grande"/>
      <w:sz w:val="18"/>
      <w:szCs w:val="18"/>
    </w:rPr>
  </w:style>
  <w:style w:type="paragraph" w:styleId="TOC1">
    <w:name w:val="toc 1"/>
    <w:basedOn w:val="Normal"/>
    <w:next w:val="Normal"/>
    <w:autoRedefine/>
    <w:uiPriority w:val="39"/>
    <w:unhideWhenUsed/>
    <w:rsid w:val="002E566C"/>
    <w:pPr>
      <w:spacing w:before="120"/>
    </w:pPr>
    <w:rPr>
      <w:b/>
    </w:rPr>
  </w:style>
  <w:style w:type="paragraph" w:styleId="TOC2">
    <w:name w:val="toc 2"/>
    <w:basedOn w:val="Normal"/>
    <w:next w:val="Normal"/>
    <w:autoRedefine/>
    <w:uiPriority w:val="39"/>
    <w:unhideWhenUsed/>
    <w:rsid w:val="00B956B4"/>
    <w:pPr>
      <w:tabs>
        <w:tab w:val="right" w:pos="9016"/>
      </w:tabs>
      <w:ind w:left="851" w:firstLine="0"/>
    </w:pPr>
    <w:rPr>
      <w:i/>
    </w:rPr>
  </w:style>
  <w:style w:type="paragraph" w:styleId="TOC3">
    <w:name w:val="toc 3"/>
    <w:basedOn w:val="Normal"/>
    <w:next w:val="Normal"/>
    <w:autoRedefine/>
    <w:uiPriority w:val="39"/>
    <w:unhideWhenUsed/>
    <w:rsid w:val="00D9039D"/>
    <w:pPr>
      <w:tabs>
        <w:tab w:val="right" w:pos="9016"/>
      </w:tabs>
      <w:ind w:left="1418" w:firstLine="0"/>
    </w:pPr>
  </w:style>
  <w:style w:type="paragraph" w:styleId="TOC4">
    <w:name w:val="toc 4"/>
    <w:basedOn w:val="Normal"/>
    <w:next w:val="Normal"/>
    <w:autoRedefine/>
    <w:uiPriority w:val="39"/>
    <w:semiHidden/>
    <w:unhideWhenUsed/>
    <w:rsid w:val="002E566C"/>
    <w:pPr>
      <w:ind w:left="720"/>
    </w:pPr>
    <w:rPr>
      <w:sz w:val="20"/>
      <w:szCs w:val="20"/>
    </w:rPr>
  </w:style>
  <w:style w:type="paragraph" w:styleId="TOC5">
    <w:name w:val="toc 5"/>
    <w:basedOn w:val="Normal"/>
    <w:next w:val="Normal"/>
    <w:autoRedefine/>
    <w:uiPriority w:val="39"/>
    <w:semiHidden/>
    <w:unhideWhenUsed/>
    <w:rsid w:val="002E566C"/>
    <w:pPr>
      <w:ind w:left="960"/>
    </w:pPr>
    <w:rPr>
      <w:sz w:val="20"/>
      <w:szCs w:val="20"/>
    </w:rPr>
  </w:style>
  <w:style w:type="paragraph" w:styleId="TOC6">
    <w:name w:val="toc 6"/>
    <w:basedOn w:val="Normal"/>
    <w:next w:val="Normal"/>
    <w:autoRedefine/>
    <w:uiPriority w:val="39"/>
    <w:semiHidden/>
    <w:unhideWhenUsed/>
    <w:rsid w:val="002E566C"/>
    <w:pPr>
      <w:ind w:left="1200"/>
    </w:pPr>
    <w:rPr>
      <w:sz w:val="20"/>
      <w:szCs w:val="20"/>
    </w:rPr>
  </w:style>
  <w:style w:type="paragraph" w:styleId="TOC7">
    <w:name w:val="toc 7"/>
    <w:basedOn w:val="Normal"/>
    <w:next w:val="Normal"/>
    <w:autoRedefine/>
    <w:uiPriority w:val="39"/>
    <w:semiHidden/>
    <w:unhideWhenUsed/>
    <w:rsid w:val="002E566C"/>
    <w:pPr>
      <w:ind w:left="1440"/>
    </w:pPr>
    <w:rPr>
      <w:sz w:val="20"/>
      <w:szCs w:val="20"/>
    </w:rPr>
  </w:style>
  <w:style w:type="paragraph" w:styleId="TOC8">
    <w:name w:val="toc 8"/>
    <w:basedOn w:val="Normal"/>
    <w:next w:val="Normal"/>
    <w:autoRedefine/>
    <w:uiPriority w:val="39"/>
    <w:semiHidden/>
    <w:unhideWhenUsed/>
    <w:rsid w:val="002E566C"/>
    <w:pPr>
      <w:ind w:left="1680"/>
    </w:pPr>
    <w:rPr>
      <w:sz w:val="20"/>
      <w:szCs w:val="20"/>
    </w:rPr>
  </w:style>
  <w:style w:type="paragraph" w:styleId="TOC9">
    <w:name w:val="toc 9"/>
    <w:basedOn w:val="Normal"/>
    <w:next w:val="Normal"/>
    <w:autoRedefine/>
    <w:uiPriority w:val="39"/>
    <w:semiHidden/>
    <w:unhideWhenUsed/>
    <w:rsid w:val="002E566C"/>
    <w:pPr>
      <w:ind w:left="1920"/>
    </w:pPr>
    <w:rPr>
      <w:sz w:val="20"/>
      <w:szCs w:val="20"/>
    </w:rPr>
  </w:style>
  <w:style w:type="character" w:customStyle="1" w:styleId="Heading2Char">
    <w:name w:val="Heading 2 Char"/>
    <w:basedOn w:val="DefaultParagraphFont"/>
    <w:link w:val="Heading2"/>
    <w:uiPriority w:val="9"/>
    <w:rsid w:val="006D4FD5"/>
    <w:rPr>
      <w:rFonts w:asciiTheme="majorHAnsi" w:eastAsiaTheme="majorEastAsia" w:hAnsiTheme="majorHAnsi" w:cstheme="majorBidi"/>
      <w:color w:val="365F91" w:themeColor="accent1" w:themeShade="BF"/>
      <w:sz w:val="24"/>
      <w:szCs w:val="24"/>
    </w:rPr>
  </w:style>
  <w:style w:type="paragraph" w:styleId="Title">
    <w:name w:val="Title"/>
    <w:basedOn w:val="Normal"/>
    <w:next w:val="Normal"/>
    <w:link w:val="TitleChar"/>
    <w:uiPriority w:val="10"/>
    <w:qFormat/>
    <w:rsid w:val="006D4FD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D4FD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D4FD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D4FD5"/>
    <w:rPr>
      <w:i/>
      <w:iCs/>
      <w:sz w:val="24"/>
      <w:szCs w:val="24"/>
    </w:rPr>
  </w:style>
  <w:style w:type="character" w:customStyle="1" w:styleId="Heading3Char">
    <w:name w:val="Heading 3 Char"/>
    <w:basedOn w:val="DefaultParagraphFont"/>
    <w:link w:val="Heading3"/>
    <w:uiPriority w:val="9"/>
    <w:rsid w:val="006D4FD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6D4FD5"/>
    <w:rPr>
      <w:rFonts w:asciiTheme="majorHAnsi" w:eastAsiaTheme="majorEastAsia" w:hAnsiTheme="majorHAnsi" w:cstheme="majorBidi"/>
      <w:i/>
      <w:iCs/>
      <w:color w:val="4F81BD" w:themeColor="accent1"/>
      <w:sz w:val="24"/>
      <w:szCs w:val="24"/>
    </w:rPr>
  </w:style>
  <w:style w:type="character" w:styleId="Emphasis">
    <w:name w:val="Emphasis"/>
    <w:uiPriority w:val="20"/>
    <w:qFormat/>
    <w:rsid w:val="006D4FD5"/>
    <w:rPr>
      <w:b/>
      <w:bCs/>
      <w:i/>
      <w:iCs/>
      <w:color w:val="5A5A5A" w:themeColor="text1" w:themeTint="A5"/>
    </w:rPr>
  </w:style>
  <w:style w:type="character" w:styleId="SubtleEmphasis">
    <w:name w:val="Subtle Emphasis"/>
    <w:uiPriority w:val="19"/>
    <w:qFormat/>
    <w:rsid w:val="006D4FD5"/>
    <w:rPr>
      <w:i/>
      <w:iCs/>
      <w:color w:val="5A5A5A" w:themeColor="text1" w:themeTint="A5"/>
    </w:rPr>
  </w:style>
  <w:style w:type="paragraph" w:styleId="Footer">
    <w:name w:val="footer"/>
    <w:basedOn w:val="Normal"/>
    <w:link w:val="FooterChar"/>
    <w:uiPriority w:val="99"/>
    <w:unhideWhenUsed/>
    <w:rsid w:val="00A8411F"/>
    <w:pPr>
      <w:tabs>
        <w:tab w:val="center" w:pos="4320"/>
        <w:tab w:val="right" w:pos="8640"/>
      </w:tabs>
    </w:pPr>
  </w:style>
  <w:style w:type="character" w:customStyle="1" w:styleId="FooterChar">
    <w:name w:val="Footer Char"/>
    <w:basedOn w:val="DefaultParagraphFont"/>
    <w:link w:val="Footer"/>
    <w:uiPriority w:val="99"/>
    <w:rsid w:val="00A8411F"/>
  </w:style>
  <w:style w:type="character" w:styleId="PageNumber">
    <w:name w:val="page number"/>
    <w:basedOn w:val="DefaultParagraphFont"/>
    <w:uiPriority w:val="99"/>
    <w:semiHidden/>
    <w:unhideWhenUsed/>
    <w:rsid w:val="00A8411F"/>
  </w:style>
  <w:style w:type="character" w:customStyle="1" w:styleId="Heading5Char">
    <w:name w:val="Heading 5 Char"/>
    <w:basedOn w:val="DefaultParagraphFont"/>
    <w:link w:val="Heading5"/>
    <w:uiPriority w:val="9"/>
    <w:rsid w:val="006D4FD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6D4FD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D4FD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D4FD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D4FD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D4FD5"/>
    <w:rPr>
      <w:b/>
      <w:bCs/>
      <w:sz w:val="18"/>
      <w:szCs w:val="18"/>
    </w:rPr>
  </w:style>
  <w:style w:type="character" w:styleId="Strong">
    <w:name w:val="Strong"/>
    <w:basedOn w:val="DefaultParagraphFont"/>
    <w:uiPriority w:val="22"/>
    <w:qFormat/>
    <w:rsid w:val="006D4FD5"/>
    <w:rPr>
      <w:b/>
      <w:bCs/>
      <w:spacing w:val="0"/>
    </w:rPr>
  </w:style>
  <w:style w:type="paragraph" w:styleId="NoSpacing">
    <w:name w:val="No Spacing"/>
    <w:basedOn w:val="Normal"/>
    <w:link w:val="NoSpacingChar"/>
    <w:uiPriority w:val="1"/>
    <w:qFormat/>
    <w:rsid w:val="006D4FD5"/>
    <w:pPr>
      <w:ind w:firstLine="0"/>
    </w:pPr>
  </w:style>
  <w:style w:type="character" w:customStyle="1" w:styleId="NoSpacingChar">
    <w:name w:val="No Spacing Char"/>
    <w:basedOn w:val="DefaultParagraphFont"/>
    <w:link w:val="NoSpacing"/>
    <w:uiPriority w:val="1"/>
    <w:rsid w:val="006D4FD5"/>
  </w:style>
  <w:style w:type="paragraph" w:styleId="Quote">
    <w:name w:val="Quote"/>
    <w:basedOn w:val="Normal"/>
    <w:next w:val="Normal"/>
    <w:link w:val="QuoteChar"/>
    <w:uiPriority w:val="29"/>
    <w:qFormat/>
    <w:rsid w:val="006D4FD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D4FD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D4FD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D4FD5"/>
    <w:rPr>
      <w:rFonts w:asciiTheme="majorHAnsi" w:eastAsiaTheme="majorEastAsia" w:hAnsiTheme="majorHAnsi" w:cstheme="majorBidi"/>
      <w:i/>
      <w:iCs/>
      <w:color w:val="FFFFFF" w:themeColor="background1"/>
      <w:sz w:val="24"/>
      <w:szCs w:val="24"/>
      <w:shd w:val="clear" w:color="auto" w:fill="4F81BD" w:themeFill="accent1"/>
    </w:rPr>
  </w:style>
  <w:style w:type="character" w:styleId="IntenseEmphasis">
    <w:name w:val="Intense Emphasis"/>
    <w:uiPriority w:val="21"/>
    <w:qFormat/>
    <w:rsid w:val="006D4FD5"/>
    <w:rPr>
      <w:b/>
      <w:bCs/>
      <w:i/>
      <w:iCs/>
      <w:color w:val="4F81BD" w:themeColor="accent1"/>
      <w:sz w:val="22"/>
      <w:szCs w:val="22"/>
    </w:rPr>
  </w:style>
  <w:style w:type="character" w:styleId="SubtleReference">
    <w:name w:val="Subtle Reference"/>
    <w:uiPriority w:val="31"/>
    <w:qFormat/>
    <w:rsid w:val="006D4FD5"/>
    <w:rPr>
      <w:color w:val="auto"/>
      <w:u w:val="single" w:color="9BBB59" w:themeColor="accent3"/>
    </w:rPr>
  </w:style>
  <w:style w:type="character" w:styleId="IntenseReference">
    <w:name w:val="Intense Reference"/>
    <w:basedOn w:val="DefaultParagraphFont"/>
    <w:uiPriority w:val="32"/>
    <w:qFormat/>
    <w:rsid w:val="006D4FD5"/>
    <w:rPr>
      <w:b/>
      <w:bCs/>
      <w:color w:val="76923C" w:themeColor="accent3" w:themeShade="BF"/>
      <w:u w:val="single" w:color="9BBB59" w:themeColor="accent3"/>
    </w:rPr>
  </w:style>
  <w:style w:type="character" w:styleId="BookTitle">
    <w:name w:val="Book Title"/>
    <w:basedOn w:val="DefaultParagraphFont"/>
    <w:uiPriority w:val="33"/>
    <w:qFormat/>
    <w:rsid w:val="006D4FD5"/>
    <w:rPr>
      <w:rFonts w:asciiTheme="majorHAnsi" w:eastAsiaTheme="majorEastAsia" w:hAnsiTheme="majorHAnsi" w:cstheme="majorBidi"/>
      <w:b/>
      <w:bCs/>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F7787-1B5C-44BB-8078-F6EADEAA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22500</TotalTime>
  <Pages>1</Pages>
  <Words>5323</Words>
  <Characters>30347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O'Neale</dc:creator>
  <cp:keywords/>
  <dc:description/>
  <cp:lastModifiedBy>Lucy Cowie</cp:lastModifiedBy>
  <cp:revision>13</cp:revision>
  <dcterms:created xsi:type="dcterms:W3CDTF">2017-11-28T22:53:00Z</dcterms:created>
  <dcterms:modified xsi:type="dcterms:W3CDTF">2018-02-20T03:07:00Z</dcterms:modified>
</cp:coreProperties>
</file>