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黑体" w:hAnsi="黑体" w:eastAsia="黑体"/>
          <w:b/>
          <w:color w:val="0B2545"/>
          <w:sz w:val="48"/>
        </w:rPr>
        <w:t>设计说明书</w:t>
      </w:r>
    </w:p>
    <w:p>
      <w:pPr>
        <w:spacing w:after="720"/>
        <w:jc w:val="center"/>
      </w:pPr>
      <w:r>
        <w:rPr>
          <w:rFonts w:ascii="宋体" w:hAnsi="宋体" w:eastAsia="宋体"/>
          <w:color w:val="555555"/>
          <w:sz w:val="26"/>
        </w:rPr>
        <w:t>软件著作权文档鉴别材料</w:t>
      </w:r>
    </w:p>
    <w:tbl>
      <w:tblPr>
        <w:tblStyle w:val="TableGrid"/>
        <w:tblW w:type="dxa" w:w="7600"/>
        <w:jc w:val="center"/>
        <w:tblLook w:firstColumn="1" w:firstRow="1" w:lastColumn="0" w:lastRow="0" w:noHBand="0" w:noVBand="1" w:val="04A0"/>
        <w:tblLayout w:type="fixed"/>
        <w:tblCellMar>
          <w:top w:w="80" w:type="dxa"/>
          <w:start w:w="120" w:type="dxa"/>
          <w:bottom w:w="80" w:type="dxa"/>
          <w:end w:w="120" w:type="dxa"/>
        </w:tblCellMar>
      </w:tblPr>
      <w:tblGrid>
        <w:gridCol w:w="4680"/>
        <w:gridCol w:w="4680"/>
      </w:tblGrid>
      <w:tr>
        <w:tc>
          <w:tcPr>
            <w:tcW w:type="dxa" w:w="4680"/>
            <w:vAlign w:val="center"/>
            <w:shd w:fill="F2F4F7"/>
          </w:tcPr>
          <w:p>
            <w:r>
              <w:rPr>
                <w:rFonts w:ascii="宋体" w:hAnsi="宋体" w:eastAsia="宋体"/>
                <w:sz w:val="21"/>
              </w:rPr>
              <w:t>软件全称</w:t>
            </w:r>
          </w:p>
        </w:tc>
        <w:tc>
          <w:tcPr>
            <w:tcW w:type="dxa" w:w="4680"/>
            <w:vAlign w:val="center"/>
          </w:tcPr>
          <w:p>
            <w:r>
              <w:rPr>
                <w:rFonts w:ascii="宋体" w:hAnsi="宋体" w:eastAsia="宋体"/>
                <w:sz w:val="21"/>
              </w:rPr>
              <w:t>MICP-椰壳纤维协同固化砂土性能分析与预测系统</w:t>
            </w:r>
          </w:p>
        </w:tc>
      </w:tr>
      <w:tr>
        <w:tc>
          <w:tcPr>
            <w:tcW w:type="dxa" w:w="4680"/>
            <w:vAlign w:val="center"/>
            <w:shd w:fill="F2F4F7"/>
          </w:tcPr>
          <w:p>
            <w:r>
              <w:rPr>
                <w:rFonts w:ascii="宋体" w:hAnsi="宋体" w:eastAsia="宋体"/>
                <w:sz w:val="21"/>
              </w:rPr>
              <w:t>软件简称</w:t>
            </w:r>
          </w:p>
        </w:tc>
        <w:tc>
          <w:tcPr>
            <w:tcW w:type="dxa" w:w="4680"/>
            <w:vAlign w:val="center"/>
          </w:tcPr>
          <w:p>
            <w:r>
              <w:rPr>
                <w:rFonts w:ascii="宋体" w:hAnsi="宋体" w:eastAsia="宋体"/>
                <w:sz w:val="21"/>
              </w:rPr>
              <w:t>MICP 固化砂土分析预测系统</w:t>
            </w:r>
          </w:p>
        </w:tc>
      </w:tr>
      <w:tr>
        <w:tc>
          <w:tcPr>
            <w:tcW w:type="dxa" w:w="4680"/>
            <w:vAlign w:val="center"/>
            <w:shd w:fill="F2F4F7"/>
          </w:tcPr>
          <w:p>
            <w:r>
              <w:rPr>
                <w:rFonts w:ascii="宋体" w:hAnsi="宋体" w:eastAsia="宋体"/>
                <w:sz w:val="21"/>
              </w:rPr>
              <w:t>版本号</w:t>
            </w:r>
          </w:p>
        </w:tc>
        <w:tc>
          <w:tcPr>
            <w:tcW w:type="dxa" w:w="4680"/>
            <w:vAlign w:val="center"/>
          </w:tcPr>
          <w:p>
            <w:r>
              <w:rPr>
                <w:rFonts w:ascii="宋体" w:hAnsi="宋体" w:eastAsia="宋体"/>
                <w:sz w:val="21"/>
              </w:rPr>
              <w:t>V1.0</w:t>
            </w:r>
          </w:p>
        </w:tc>
      </w:tr>
      <w:tr>
        <w:tc>
          <w:tcPr>
            <w:tcW w:type="dxa" w:w="4680"/>
            <w:vAlign w:val="center"/>
            <w:shd w:fill="F2F4F7"/>
          </w:tcPr>
          <w:p>
            <w:r>
              <w:rPr>
                <w:rFonts w:ascii="宋体" w:hAnsi="宋体" w:eastAsia="宋体"/>
                <w:sz w:val="21"/>
              </w:rPr>
              <w:t>材料类型</w:t>
            </w:r>
          </w:p>
        </w:tc>
        <w:tc>
          <w:tcPr>
            <w:tcW w:type="dxa" w:w="4680"/>
            <w:vAlign w:val="center"/>
          </w:tcPr>
          <w:p>
            <w:r>
              <w:rPr>
                <w:rFonts w:ascii="宋体" w:hAnsi="宋体" w:eastAsia="宋体"/>
                <w:sz w:val="21"/>
              </w:rPr>
              <w:t>软件著作权文档鉴别材料</w:t>
            </w:r>
          </w:p>
        </w:tc>
      </w:tr>
      <w:tr>
        <w:tc>
          <w:tcPr>
            <w:tcW w:type="dxa" w:w="4680"/>
            <w:vAlign w:val="center"/>
            <w:shd w:fill="F2F4F7"/>
          </w:tcPr>
          <w:p>
            <w:r>
              <w:rPr>
                <w:rFonts w:ascii="宋体" w:hAnsi="宋体" w:eastAsia="宋体"/>
                <w:sz w:val="21"/>
              </w:rPr>
              <w:t>整理日期</w:t>
            </w:r>
          </w:p>
        </w:tc>
        <w:tc>
          <w:tcPr>
            <w:tcW w:type="dxa" w:w="4680"/>
            <w:vAlign w:val="center"/>
          </w:tcPr>
          <w:p>
            <w:r>
              <w:rPr>
                <w:rFonts w:ascii="宋体" w:hAnsi="宋体" w:eastAsia="宋体"/>
                <w:sz w:val="21"/>
              </w:rPr>
              <w:t>2026-10-29</w:t>
            </w:r>
          </w:p>
        </w:tc>
      </w:tr>
    </w:tbl>
    <w:p>
      <w:r>
        <w:br w:type="page"/>
      </w:r>
    </w:p>
    <w:p>
      <w:pPr>
        <w:pStyle w:val="Heading1"/>
      </w:pPr>
      <w:r>
        <w:t>MICP-椰壳纤维协同固化砂土性能分析与预测系统 V1.0 设计说明书</w:t>
      </w:r>
    </w:p>
    <w:p>
      <w:pPr>
        <w:pStyle w:val="Heading2"/>
      </w:pPr>
      <w:r>
        <w:t>1. 概述</w:t>
      </w:r>
    </w:p>
    <w:p>
      <w:pPr>
        <w:pStyle w:val="Heading3"/>
      </w:pPr>
      <w:r>
        <w:t>1.1 编写目的</w:t>
      </w:r>
    </w:p>
    <w:p>
      <w:r>
        <w:t>本说明书描述 MICP-椰壳纤维协同固化砂土性能分析与预测系统（以下简称"本系统"）的设计背景、总体架构、核心算法、数据结构、模块划分、接口规范、运行流程和操作步骤，作为软件著作权登记的技术文档，同时供开发维护人员参考。操作步骤见第 11 章。</w:t>
      </w:r>
    </w:p>
    <w:p>
      <w:pPr>
        <w:pStyle w:val="Heading3"/>
      </w:pPr>
      <w:r>
        <w:t>1.2 研究背景</w:t>
      </w:r>
    </w:p>
    <w:p>
      <w:r>
        <w:t>微生物诱导碳酸钙沉淀（Microbially Induced Calcite Precipitation，MICP）利用巴氏芽孢杆菌等产脲酶微生物水解尿素，使 Ca²⁺ 以方解石形式沉淀在砂颗粒接触点，形成胶结；掺入椰壳纤维可通过桥接与约束作用改善固化体的脆性和抗崩解性能。该类试验涉及菌液活性、钙源供给、孔隙结构、灌注工艺、纤维掺量等多个耦合因素，单次试验周期长（7~28 天）、成本高，研究人员迫切需要一套能够：</w:t>
      </w:r>
    </w:p>
    <w:p>
      <w:pPr>
        <w:pStyle w:val="ListBullet"/>
      </w:pPr>
      <w:r>
        <w:t>把分散的试验数据按项目归档并统一校验；</w:t>
      </w:r>
    </w:p>
    <w:p>
      <w:pPr>
        <w:pStyle w:val="ListBullet"/>
      </w:pPr>
      <w:r>
        <w:t>在小样本条件下给出有物理依据的性能预测，而不是单纯的数据拟合；</w:t>
      </w:r>
    </w:p>
    <w:p>
      <w:pPr>
        <w:pStyle w:val="ListBullet"/>
      </w:pPr>
      <w:r>
        <w:t>量化各参数对性能的影响程度，指导试验方案设计；</w:t>
      </w:r>
    </w:p>
    <w:p>
      <w:pPr>
        <w:pStyle w:val="ListBullet"/>
      </w:pPr>
      <w:r>
        <w:t>在多个性能指标与成本之间给出可解释的优化配比；</w:t>
      </w:r>
    </w:p>
    <w:p>
      <w:pPr>
        <w:pStyle w:val="ListBullet"/>
      </w:pPr>
      <w:r>
        <w:t>自动完成统计检验并生成规范化报告</w:t>
      </w:r>
    </w:p>
    <w:p>
      <w:r>
        <w:t>的工具。本系统为此而开发。</w:t>
      </w:r>
    </w:p>
    <w:p>
      <w:pPr>
        <w:pStyle w:val="Heading3"/>
      </w:pPr>
      <w:r>
        <w:t>1.3 设计原则</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4680"/>
        <w:gridCol w:w="4680"/>
      </w:tblGrid>
      <w:tr>
        <w:tc>
          <w:tcPr>
            <w:tcW w:type="dxa" w:w="4680"/>
            <w:shd w:fill="F2F4F7"/>
            <w:vAlign w:val="center"/>
          </w:tcPr>
          <w:p>
            <w:pPr>
              <w:spacing w:after="0"/>
            </w:pPr>
            <w:r>
              <w:rPr>
                <w:rFonts w:ascii="宋体" w:hAnsi="宋体" w:eastAsia="宋体"/>
                <w:sz w:val="18"/>
              </w:rPr>
              <w:t>原则</w:t>
            </w:r>
          </w:p>
        </w:tc>
        <w:tc>
          <w:tcPr>
            <w:tcW w:type="dxa" w:w="4680"/>
            <w:shd w:fill="F2F4F7"/>
            <w:vAlign w:val="center"/>
          </w:tcPr>
          <w:p>
            <w:pPr>
              <w:spacing w:after="0"/>
            </w:pPr>
            <w:r>
              <w:rPr>
                <w:rFonts w:ascii="宋体" w:hAnsi="宋体" w:eastAsia="宋体"/>
                <w:sz w:val="18"/>
              </w:rPr>
              <w:t>落实方式</w:t>
            </w:r>
          </w:p>
        </w:tc>
      </w:tr>
      <w:tr>
        <w:tc>
          <w:tcPr>
            <w:tcW w:type="dxa" w:w="4680"/>
            <w:vAlign w:val="center"/>
          </w:tcPr>
          <w:p>
            <w:pPr>
              <w:spacing w:after="0"/>
            </w:pPr>
            <w:r>
              <w:rPr>
                <w:rFonts w:ascii="宋体" w:hAnsi="宋体" w:eastAsia="宋体"/>
                <w:sz w:val="18"/>
              </w:rPr>
              <w:t>机理先验</w:t>
            </w:r>
          </w:p>
        </w:tc>
        <w:tc>
          <w:tcPr>
            <w:tcW w:type="dxa" w:w="4680"/>
            <w:vAlign w:val="center"/>
          </w:tcPr>
          <w:p>
            <w:pPr>
              <w:spacing w:after="0"/>
            </w:pPr>
            <w:r>
              <w:rPr>
                <w:rFonts w:ascii="宋体" w:hAnsi="宋体" w:eastAsia="宋体"/>
                <w:sz w:val="18"/>
              </w:rPr>
              <w:t>所有预测以 MICP 机理模型为基线，机器学习只修正残差，小样本下自动退化为纯机理模型</w:t>
            </w:r>
          </w:p>
        </w:tc>
      </w:tr>
      <w:tr>
        <w:tc>
          <w:tcPr>
            <w:tcW w:type="dxa" w:w="4680"/>
            <w:vAlign w:val="center"/>
          </w:tcPr>
          <w:p>
            <w:pPr>
              <w:spacing w:after="0"/>
            </w:pPr>
            <w:r>
              <w:rPr>
                <w:rFonts w:ascii="宋体" w:hAnsi="宋体" w:eastAsia="宋体"/>
                <w:sz w:val="18"/>
              </w:rPr>
              <w:t>可解释</w:t>
            </w:r>
          </w:p>
        </w:tc>
        <w:tc>
          <w:tcPr>
            <w:tcW w:type="dxa" w:w="4680"/>
            <w:vAlign w:val="center"/>
          </w:tcPr>
          <w:p>
            <w:pPr>
              <w:spacing w:after="0"/>
            </w:pPr>
            <w:r>
              <w:rPr>
                <w:rFonts w:ascii="宋体" w:hAnsi="宋体" w:eastAsia="宋体"/>
                <w:sz w:val="18"/>
              </w:rPr>
              <w:t>预测结果拆分为"机理解释部分 + 数据修正部分"，并给出 8 项中间机理特征</w:t>
            </w:r>
          </w:p>
        </w:tc>
      </w:tr>
      <w:tr>
        <w:tc>
          <w:tcPr>
            <w:tcW w:type="dxa" w:w="4680"/>
            <w:vAlign w:val="center"/>
          </w:tcPr>
          <w:p>
            <w:pPr>
              <w:spacing w:after="0"/>
            </w:pPr>
            <w:r>
              <w:rPr>
                <w:rFonts w:ascii="宋体" w:hAnsi="宋体" w:eastAsia="宋体"/>
                <w:sz w:val="18"/>
              </w:rPr>
              <w:t>可复现</w:t>
            </w:r>
          </w:p>
        </w:tc>
        <w:tc>
          <w:tcPr>
            <w:tcW w:type="dxa" w:w="4680"/>
            <w:vAlign w:val="center"/>
          </w:tcPr>
          <w:p>
            <w:pPr>
              <w:spacing w:after="0"/>
            </w:pPr>
            <w:r>
              <w:rPr>
                <w:rFonts w:ascii="宋体" w:hAnsi="宋体" w:eastAsia="宋体"/>
                <w:sz w:val="18"/>
              </w:rPr>
              <w:t>全部随机过程（采样、交叉验证、Morris 轨迹）使用固定种子</w:t>
            </w:r>
          </w:p>
        </w:tc>
      </w:tr>
      <w:tr>
        <w:tc>
          <w:tcPr>
            <w:tcW w:type="dxa" w:w="4680"/>
            <w:vAlign w:val="center"/>
          </w:tcPr>
          <w:p>
            <w:pPr>
              <w:spacing w:after="0"/>
            </w:pPr>
            <w:r>
              <w:rPr>
                <w:rFonts w:ascii="宋体" w:hAnsi="宋体" w:eastAsia="宋体"/>
                <w:sz w:val="18"/>
              </w:rPr>
              <w:t>不外推</w:t>
            </w:r>
          </w:p>
        </w:tc>
        <w:tc>
          <w:tcPr>
            <w:tcW w:type="dxa" w:w="4680"/>
            <w:vAlign w:val="center"/>
          </w:tcPr>
          <w:p>
            <w:pPr>
              <w:spacing w:after="0"/>
            </w:pPr>
            <w:r>
              <w:rPr>
                <w:rFonts w:ascii="宋体" w:hAnsi="宋体" w:eastAsia="宋体"/>
                <w:sz w:val="18"/>
              </w:rPr>
              <w:t>配比优化默认限制在历史样本的参数包络内</w:t>
            </w:r>
          </w:p>
        </w:tc>
      </w:tr>
      <w:tr>
        <w:tc>
          <w:tcPr>
            <w:tcW w:type="dxa" w:w="4680"/>
            <w:vAlign w:val="center"/>
          </w:tcPr>
          <w:p>
            <w:pPr>
              <w:spacing w:after="0"/>
            </w:pPr>
            <w:r>
              <w:rPr>
                <w:rFonts w:ascii="宋体" w:hAnsi="宋体" w:eastAsia="宋体"/>
                <w:sz w:val="18"/>
              </w:rPr>
              <w:t>数据可信</w:t>
            </w:r>
          </w:p>
        </w:tc>
        <w:tc>
          <w:tcPr>
            <w:tcW w:type="dxa" w:w="4680"/>
            <w:vAlign w:val="center"/>
          </w:tcPr>
          <w:p>
            <w:pPr>
              <w:spacing w:after="0"/>
            </w:pPr>
            <w:r>
              <w:rPr>
                <w:rFonts w:ascii="宋体" w:hAnsi="宋体" w:eastAsia="宋体"/>
                <w:sz w:val="18"/>
              </w:rPr>
              <w:t>三层校验（结构 / 区间 / 物理一致性）、IQR + Grubbs 异常值检测</w:t>
            </w:r>
          </w:p>
        </w:tc>
      </w:tr>
      <w:tr>
        <w:tc>
          <w:tcPr>
            <w:tcW w:type="dxa" w:w="4680"/>
            <w:vAlign w:val="center"/>
          </w:tcPr>
          <w:p>
            <w:pPr>
              <w:spacing w:after="0"/>
            </w:pPr>
            <w:r>
              <w:rPr>
                <w:rFonts w:ascii="宋体" w:hAnsi="宋体" w:eastAsia="宋体"/>
                <w:sz w:val="18"/>
              </w:rPr>
              <w:t>轻量部署</w:t>
            </w:r>
          </w:p>
        </w:tc>
        <w:tc>
          <w:tcPr>
            <w:tcW w:type="dxa" w:w="4680"/>
            <w:vAlign w:val="center"/>
          </w:tcPr>
          <w:p>
            <w:pPr>
              <w:spacing w:after="0"/>
            </w:pPr>
            <w:r>
              <w:rPr>
                <w:rFonts w:ascii="宋体" w:hAnsi="宋体" w:eastAsia="宋体"/>
                <w:sz w:val="18"/>
              </w:rPr>
              <w:t>Flask + SQLite 单机即可运行，无外部服务依赖</w:t>
            </w:r>
          </w:p>
        </w:tc>
      </w:tr>
    </w:tbl>
    <w:p>
      <w:pPr>
        <w:pStyle w:val="Heading3"/>
      </w:pPr>
      <w:r>
        <w:t>1.4 运行环境</w:t>
      </w:r>
    </w:p>
    <w:p>
      <w:pPr>
        <w:pStyle w:val="ListBullet"/>
      </w:pPr>
      <w:r>
        <w:t>服务端：Python 3.10 及以上；Flask、NumPy、SciPy、scikit-learn、joblib；SQLite 3</w:t>
      </w:r>
    </w:p>
    <w:p>
      <w:pPr>
        <w:pStyle w:val="ListBullet"/>
      </w:pPr>
      <w:r>
        <w:t>客户端：Chrome / Edge / Safari 等现代浏览器（ES2020、Canvas 2D）</w:t>
      </w:r>
    </w:p>
    <w:p>
      <w:pPr>
        <w:pStyle w:val="ListBullet"/>
      </w:pPr>
      <w:r>
        <w:t>操作系统：macOS、Linux、Windows 均可</w:t>
      </w:r>
    </w:p>
    <w:p>
      <w:pPr>
        <w:pStyle w:val="Heading2"/>
      </w:pPr>
      <w:r>
        <w:t>2. 总体架构</w:t>
      </w:r>
    </w:p>
    <w:p>
      <w:pPr>
        <w:jc w:val="center"/>
      </w:pPr>
      <w:r>
        <w:drawing>
          <wp:inline xmlns:a="http://schemas.openxmlformats.org/drawingml/2006/main" xmlns:pic="http://schemas.openxmlformats.org/drawingml/2006/picture">
            <wp:extent cx="5688000" cy="3113090"/>
            <wp:docPr id="1" name="Picture 1"/>
            <wp:cNvGraphicFramePr>
              <a:graphicFrameLocks noChangeAspect="1"/>
            </wp:cNvGraphicFramePr>
            <a:graphic>
              <a:graphicData uri="http://schemas.openxmlformats.org/drawingml/2006/picture">
                <pic:pic>
                  <pic:nvPicPr>
                    <pic:cNvPr id="0" name="设计说明书-01.png"/>
                    <pic:cNvPicPr/>
                  </pic:nvPicPr>
                  <pic:blipFill>
                    <a:blip r:embed="rId11"/>
                    <a:stretch>
                      <a:fillRect/>
                    </a:stretch>
                  </pic:blipFill>
                  <pic:spPr>
                    <a:xfrm>
                      <a:off x="0" y="0"/>
                      <a:ext cx="5688000" cy="3113090"/>
                    </a:xfrm>
                    <a:prstGeom prst="rect"/>
                  </pic:spPr>
                </pic:pic>
              </a:graphicData>
            </a:graphic>
          </wp:inline>
        </w:drawing>
      </w:r>
    </w:p>
    <w:p>
      <w:r>
        <w:t>系统分为四层：</w:t>
      </w:r>
    </w:p>
    <w:p>
      <w:pPr>
        <w:pStyle w:val="ListNumber"/>
      </w:pPr>
      <w:r>
        <w:t>**表现层**：单页应用，10 个功能面板，全部图表使用 Canvas 2D 自绘，不依赖第三方图表库。前端内置与后端完全一致的机理模型 JavaScript 实现，在后端不可达时切换为"离线机理模式"。</w:t>
      </w:r>
    </w:p>
    <w:p>
      <w:pPr>
        <w:pStyle w:val="ListNumber"/>
      </w:pPr>
      <w:r>
        <w:t>**接口层**：server.py 只负责解析请求（用户 token、项目 ID、参数）、调用算法包、序列化返回；所有业务逻辑不在此层实现。</w:t>
      </w:r>
    </w:p>
    <w:p>
      <w:pPr>
        <w:pStyle w:val="ListNumber"/>
      </w:pPr>
      <w:r>
        <w:t>**算法层**：backend/micp 包，10 个模块，纯函数式接口，输入输出均为 Python 原生类型与 NumPy 数组，可脱离 Web 层独立调用与测试。</w:t>
      </w:r>
    </w:p>
    <w:p>
      <w:pPr>
        <w:pStyle w:val="ListNumber"/>
      </w:pPr>
      <w:r>
        <w:t>**数据层**：db.py，SQLite 单文件数据库，方案与样本以 JSON 文本存储、字段由数据字典约束，便于扩展字段而无需迁移表结构。</w:t>
      </w:r>
    </w:p>
    <w:p>
      <w:pPr>
        <w:pStyle w:val="Heading2"/>
      </w:pPr>
      <w:r>
        <w:t>3. 核心算法设计</w:t>
      </w:r>
    </w:p>
    <w:p>
      <w:pPr>
        <w:pStyle w:val="Heading3"/>
      </w:pPr>
      <w:r>
        <w:t>3.1 机理模型（mechanism.py）</w:t>
      </w:r>
    </w:p>
    <w:p>
      <w:r>
        <w:t>机理模型把 8 项试验参数转换为 8 项有物理意义的中间量（机理特征），再推算 7 项性能指标的基线值。全部系数集中在 MechanismConstants 数据类中，便于按实际试验数据标定。</w:t>
      </w:r>
    </w:p>
    <w:p>
      <w:r>
        <w:t>**符号**：ρ_d 干密度 (g/cm³)，f 纤维掺量 (%)，V_b 菌液体积 (mL)，OD 菌液 OD600，T 温度 (℃)，C 胶结液浓度 (mol/L)，V_f 胶结液体积 (mL)，N 固化次数。</w:t>
      </w:r>
    </w:p>
    <w:p>
      <w:r>
        <w:t>下列各式是本软件的计算式，系数集中在 MechanismConstants。文献对应的是现象和所用函数形式，不是表中每一个常数：菌量增大后反应趋近饱和，饱和项取 Michaelis-Menten 形式[7]；重复灌浆在颗粒接触处沉淀碳酸钙[1]，长砂柱试验中强度提高后土体仍能过水[2]；注入速率过高时化学效率下降；在该文试验的浓度范围内，浓度主要改变孔隙中碳酸钙的分布，总效率变化不大[3]；椰壳纤维直剪试验的较优掺量约为砂重的 0.3%[4]；渗透系数随孔隙率的变化取 Kozeny-Carman 的 \(n^3/(1-n)^2\) 项[5][6]。KB = 50、温度高斯参数、0.75 mol/L、纤维峰 0.40% 等数值由本软件设定。</w:t>
      </w:r>
    </w:p>
    <w:p>
      <w:pPr>
        <w:pStyle w:val="Heading3"/>
      </w:pPr>
      <w:r>
        <w:t>3.1.1 菌液活性</w:t>
      </w:r>
    </w:p>
    <w:p>
      <w:r>
        <w:t>有效菌量 \(B = V_b \cdot OD\)（mL·OD），脲酶饱和项采用 Michaelis-Menten 形式：</w:t>
      </w:r>
    </w:p>
    <w:p>
      <w:r>
        <w:t>\[ s_B = \frac{B}{K_B + B}, \quad K_B = 50 \]</w:t>
      </w:r>
    </w:p>
    <w:p>
      <w:r>
        <w:t>温度活性因子采用带下限的高斯型，最优温度 30 ℃，标准差 9 ℃：</w:t>
      </w:r>
    </w:p>
    <w:p>
      <w:r>
        <w:t>\[ f_T = 0.25 + 0.75 \cdot \exp\left[-\left(\frac{T - 30}{9}\right)^2\right] \]</w:t>
      </w:r>
    </w:p>
    <w:p>
      <w:pPr>
        <w:pStyle w:val="Heading3"/>
      </w:pPr>
      <w:r>
        <w:t>3.1.2 孔隙结构与灌注液利用率</w:t>
      </w:r>
    </w:p>
    <w:p>
      <w:r>
        <w:t>初始孔隙率 \(n_0 = 1 - \rho_d / G_s\)（\(G_s = 2.65\)），试样直径取 GB/T 50123—2019 三轴试验规定的 39.1 mm[8]，高度取 80 mm（高径比约 2.05，落在该标准要求的 2.0～2.5 内），体积按 96 cm³ 计，孔隙体积 \(V_p = 96\, n_0\)。灌注液体积远超孔隙体积时多余液体流失，利用率</w:t>
      </w:r>
    </w:p>
    <w:p>
      <w:r>
        <w:t>\[ u = \mathrm{clip}\left(\frac{2.4\, V_p}{V_f},\ 0.35,\ 1\right) \]</w:t>
      </w:r>
    </w:p>
    <w:p>
      <w:pPr>
        <w:pStyle w:val="Heading3"/>
      </w:pPr>
      <w:r>
        <w:t>3.1.3 高浓度抑制</w:t>
      </w:r>
    </w:p>
    <w:p>
      <w:r>
        <w:t>胶结液浓度超过 0.75 mol/L 后脲酶活性受抑制：</w:t>
      </w:r>
    </w:p>
    <w:p>
      <w:r>
        <w:t>\[ f_C = \exp\left[-\left(\frac{\max(C - 0.75,\ 0)}{1.8}\right)^2\right] \]</w:t>
      </w:r>
    </w:p>
    <w:p>
      <w:pPr>
        <w:pStyle w:val="Heading3"/>
      </w:pPr>
      <w:r>
        <w:t>3.1.4 逐轮钙源转化与孔隙堵塞</w:t>
      </w:r>
    </w:p>
    <w:p>
      <w:r>
        <w:t>单轮钙源 \(M_c = C \cdot V_f / 1000\)（mol）。第 k 轮（k 从 0 起）的转化效率随已填充孔隙和注入通道衰减而降低：</w:t>
      </w:r>
    </w:p>
    <w:p>
      <w:r>
        <w:t>\[ \eta_k = \eta_{\max} \cdot s_B \cdot f_T \cdot u \cdot f_C \cdot (1 - \varphi_{k-1})^3 \cdot e^{-0.03k}, \quad \eta_{\max} = 0.85 \]</w:t>
      </w:r>
    </w:p>
    <w:p>
      <w:r>
        <w:t>\[ m_{\mathrm{CaCO_3}} = \sum_{k=0}^{N-1} M_c \cdot M_w \cdot \eta_k, \quad M_w = 100.09\ \mathrm{g/mol} \]</w:t>
      </w:r>
    </w:p>
    <w:p>
      <w:r>
        <w:t>每轮后更新孔隙填充率 \(\varphi_k = m_{\mathrm{CaCO_3}} / (\rho_{calcite} V_p)\)，\(\rho_{calcite} = 2.71\)。碳酸钙质量分数 \(w_c = m_{\mathrm{CaCO_3}} / (\rho_d \cdot 96) \times 100\%\)。</w:t>
      </w:r>
    </w:p>
    <w:p>
      <w:pPr>
        <w:pStyle w:val="Heading3"/>
      </w:pPr>
      <w:r>
        <w:t>3.1.5 纤维桥接因子</w:t>
      </w:r>
    </w:p>
    <w:p>
      <w:r>
        <w:t>采用单峰函数刻画最优掺量 0.40 %，超过 0.75 % 后因团聚而衰减：</w:t>
      </w:r>
    </w:p>
    <w:p>
      <w:r>
        <w:t>\[ F = \frac{f}{f_{opt}} \exp\left(1 - \frac{f}{f_{opt}}\right) \cdot \left[1 - 0.45\, \mathrm{clip}\left(\frac{f - 0.75}{0.25}, 0, 1\right)\right] \]</w:t>
      </w:r>
    </w:p>
    <w:p>
      <w:pPr>
        <w:pStyle w:val="Heading3"/>
      </w:pPr>
      <w:r>
        <w:t>3.1.6 性能指标基线</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4680"/>
        <w:gridCol w:w="4680"/>
      </w:tblGrid>
      <w:tr>
        <w:tc>
          <w:tcPr>
            <w:tcW w:type="dxa" w:w="4680"/>
            <w:shd w:fill="F2F4F7"/>
            <w:vAlign w:val="center"/>
          </w:tcPr>
          <w:p>
            <w:pPr>
              <w:spacing w:after="0"/>
            </w:pPr>
            <w:r>
              <w:rPr>
                <w:rFonts w:ascii="宋体" w:hAnsi="宋体" w:eastAsia="宋体"/>
                <w:sz w:val="18"/>
              </w:rPr>
              <w:t>指标</w:t>
            </w:r>
          </w:p>
        </w:tc>
        <w:tc>
          <w:tcPr>
            <w:tcW w:type="dxa" w:w="4680"/>
            <w:shd w:fill="F2F4F7"/>
            <w:vAlign w:val="center"/>
          </w:tcPr>
          <w:p>
            <w:pPr>
              <w:spacing w:after="0"/>
            </w:pPr>
            <w:r>
              <w:rPr>
                <w:rFonts w:ascii="宋体" w:hAnsi="宋体" w:eastAsia="宋体"/>
                <w:sz w:val="18"/>
              </w:rPr>
              <w:t>公式</w:t>
            </w:r>
          </w:p>
        </w:tc>
      </w:tr>
      <w:tr>
        <w:tc>
          <w:tcPr>
            <w:tcW w:type="dxa" w:w="4680"/>
            <w:vAlign w:val="center"/>
          </w:tcPr>
          <w:p>
            <w:pPr>
              <w:spacing w:after="0"/>
            </w:pPr>
            <w:r>
              <w:rPr>
                <w:rFonts w:ascii="宋体" w:hAnsi="宋体" w:eastAsia="宋体"/>
                <w:sz w:val="18"/>
              </w:rPr>
              <w:t>无侧限抗压强度 UCS (kPa)</w:t>
            </w:r>
          </w:p>
        </w:tc>
        <w:tc>
          <w:tcPr>
            <w:tcW w:type="dxa" w:w="4680"/>
            <w:vAlign w:val="center"/>
          </w:tcPr>
          <w:p>
            <w:pPr>
              <w:spacing w:after="0"/>
            </w:pPr>
            <w:r>
              <w:rPr>
                <w:rFonts w:ascii="宋体" w:hAnsi="宋体" w:eastAsia="宋体"/>
                <w:sz w:val="18"/>
              </w:rPr>
              <w:t>\( 34 \cdot w_c^{1.08} \cdot (\rho_d/1.6)^{2} \cdot (1 + 0.35F) \)</w:t>
            </w:r>
          </w:p>
        </w:tc>
      </w:tr>
      <w:tr>
        <w:tc>
          <w:tcPr>
            <w:tcW w:type="dxa" w:w="4680"/>
            <w:vAlign w:val="center"/>
          </w:tcPr>
          <w:p>
            <w:pPr>
              <w:spacing w:after="0"/>
            </w:pPr>
            <w:r>
              <w:rPr>
                <w:rFonts w:ascii="宋体" w:hAnsi="宋体" w:eastAsia="宋体"/>
                <w:sz w:val="18"/>
              </w:rPr>
              <w:t>固化后干密度 (g/cm³)</w:t>
            </w:r>
          </w:p>
        </w:tc>
        <w:tc>
          <w:tcPr>
            <w:tcW w:type="dxa" w:w="4680"/>
            <w:vAlign w:val="center"/>
          </w:tcPr>
          <w:p>
            <w:pPr>
              <w:spacing w:after="0"/>
            </w:pPr>
            <w:r>
              <w:rPr>
                <w:rFonts w:ascii="宋体" w:hAnsi="宋体" w:eastAsia="宋体"/>
                <w:sz w:val="18"/>
              </w:rPr>
              <w:t>\( \rho_d (1 + w_c/100) \)</w:t>
            </w:r>
          </w:p>
        </w:tc>
      </w:tr>
      <w:tr>
        <w:tc>
          <w:tcPr>
            <w:tcW w:type="dxa" w:w="4680"/>
            <w:vAlign w:val="center"/>
          </w:tcPr>
          <w:p>
            <w:pPr>
              <w:spacing w:after="0"/>
            </w:pPr>
            <w:r>
              <w:rPr>
                <w:rFonts w:ascii="宋体" w:hAnsi="宋体" w:eastAsia="宋体"/>
                <w:sz w:val="18"/>
              </w:rPr>
              <w:t>黏聚力 c (kPa)</w:t>
            </w:r>
          </w:p>
        </w:tc>
        <w:tc>
          <w:tcPr>
            <w:tcW w:type="dxa" w:w="4680"/>
            <w:vAlign w:val="center"/>
          </w:tcPr>
          <w:p>
            <w:pPr>
              <w:spacing w:after="0"/>
            </w:pPr>
            <w:r>
              <w:rPr>
                <w:rFonts w:ascii="宋体" w:hAnsi="宋体" w:eastAsia="宋体"/>
                <w:sz w:val="18"/>
              </w:rPr>
              <w:t>\( 6 + 3 w_c + 10 F \)</w:t>
            </w:r>
          </w:p>
        </w:tc>
      </w:tr>
      <w:tr>
        <w:tc>
          <w:tcPr>
            <w:tcW w:type="dxa" w:w="4680"/>
            <w:vAlign w:val="center"/>
          </w:tcPr>
          <w:p>
            <w:pPr>
              <w:spacing w:after="0"/>
            </w:pPr>
            <w:r>
              <w:rPr>
                <w:rFonts w:ascii="宋体" w:hAnsi="宋体" w:eastAsia="宋体"/>
                <w:sz w:val="18"/>
              </w:rPr>
              <w:t>内摩擦角 φ (°)</w:t>
            </w:r>
          </w:p>
        </w:tc>
        <w:tc>
          <w:tcPr>
            <w:tcW w:type="dxa" w:w="4680"/>
            <w:vAlign w:val="center"/>
          </w:tcPr>
          <w:p>
            <w:pPr>
              <w:spacing w:after="0"/>
            </w:pPr>
            <w:r>
              <w:rPr>
                <w:rFonts w:ascii="宋体" w:hAnsi="宋体" w:eastAsia="宋体"/>
                <w:sz w:val="18"/>
              </w:rPr>
              <w:t>\( 26 + 10(\rho_d - 1.4) + 2\ln(1 + w_c) + 1.5F \)</w:t>
            </w:r>
          </w:p>
        </w:tc>
      </w:tr>
      <w:tr>
        <w:tc>
          <w:tcPr>
            <w:tcW w:type="dxa" w:w="4680"/>
            <w:vAlign w:val="center"/>
          </w:tcPr>
          <w:p>
            <w:pPr>
              <w:spacing w:after="0"/>
            </w:pPr>
            <w:r>
              <w:rPr>
                <w:rFonts w:ascii="宋体" w:hAnsi="宋体" w:eastAsia="宋体"/>
                <w:sz w:val="18"/>
              </w:rPr>
              <w:t>渗透系数 k (×10⁻⁴ cm/s)</w:t>
            </w:r>
          </w:p>
        </w:tc>
        <w:tc>
          <w:tcPr>
            <w:tcW w:type="dxa" w:w="4680"/>
            <w:vAlign w:val="center"/>
          </w:tcPr>
          <w:p>
            <w:pPr>
              <w:spacing w:after="0"/>
            </w:pPr>
            <w:r>
              <w:rPr>
                <w:rFonts w:ascii="宋体" w:hAnsi="宋体" w:eastAsia="宋体"/>
                <w:sz w:val="18"/>
              </w:rPr>
              <w:t>Kozeny-Carman：\( k = k_{ref}\dfrac{KC(n_0(1-\varphi))}{KC(n_0)}(1 - 0.1F) \)，\(KC(n) = n^3/(1-n)^2\)，\(k_{ref}\) 由 n₀=0.40 时 9×10⁻⁴ cm/s 换算</w:t>
            </w:r>
          </w:p>
        </w:tc>
      </w:tr>
      <w:tr>
        <w:tc>
          <w:tcPr>
            <w:tcW w:type="dxa" w:w="4680"/>
            <w:vAlign w:val="center"/>
          </w:tcPr>
          <w:p>
            <w:pPr>
              <w:spacing w:after="0"/>
            </w:pPr>
            <w:r>
              <w:rPr>
                <w:rFonts w:ascii="宋体" w:hAnsi="宋体" w:eastAsia="宋体"/>
                <w:sz w:val="18"/>
              </w:rPr>
              <w:t>浸水崩解率 (%)</w:t>
            </w:r>
          </w:p>
        </w:tc>
        <w:tc>
          <w:tcPr>
            <w:tcW w:type="dxa" w:w="4680"/>
            <w:vAlign w:val="center"/>
          </w:tcPr>
          <w:p>
            <w:pPr>
              <w:spacing w:after="0"/>
            </w:pPr>
            <w:r>
              <w:rPr>
                <w:rFonts w:ascii="宋体" w:hAnsi="宋体" w:eastAsia="宋体"/>
                <w:sz w:val="18"/>
              </w:rPr>
              <w:t>\( \max\left(42\, e^{-3.6\varphi}(1 - 0.3F),\ 1.5\right) \)</w:t>
            </w:r>
          </w:p>
        </w:tc>
      </w:tr>
    </w:tbl>
    <w:p>
      <w:r>
        <w:t>8 项机理特征（FEATURE_KEYS）：有效菌量指数、脲酶温度活性因子、累计钙源供给量、钙源转化效率、纤维桥接因子、初始孔隙率、孔隙填充率、灌注液利用率。explain_mechanism() 把以上链条组织为 5 段中文解释，供预测面板与报告使用。</w:t>
      </w:r>
    </w:p>
    <w:p>
      <w:pPr>
        <w:pStyle w:val="Heading3"/>
      </w:pPr>
      <w:r>
        <w:t>3.2 机理-数据混合模型（models.py）</w:t>
      </w:r>
    </w:p>
    <w:p>
      <w:r>
        <w:t>机器学习不直接拟合性能指标，而是拟合**残差**：</w:t>
      </w:r>
    </w:p>
    <w:p>
      <w:r>
        <w:t>\[ \hat{y}(x) = y_{mech}(x) + \sigma_y \odot g_\theta\big([x,\ \phi(x)]\big) \]</w:t>
      </w:r>
    </w:p>
    <w:p>
      <w:pPr>
        <w:pStyle w:val="ListBullet"/>
      </w:pPr>
      <w:r>
        <w:t>\(x\) 为 8 项原始参数，\(\phi(x)\) 为 8 项机理特征，设计矩阵为 16 维；</w:t>
      </w:r>
    </w:p>
    <w:p>
      <w:pPr>
        <w:pStyle w:val="ListBullet"/>
      </w:pPr>
      <w:r>
        <w:t>\(g_\theta\) 为残差学习器，训练目标为 \((y - y_{mech}) / \sigma_y\)，按指标标准差归一化，避免 kPa 量级的 UCS 支配损失函数；</w:t>
      </w:r>
    </w:p>
    <w:p>
      <w:pPr>
        <w:pStyle w:val="ListBullet"/>
      </w:pPr>
      <w:r>
        <w:t>输出经物理可行域裁剪：UCS ≥ 0，CaCO₃ ∈ [0, 60]%，崩解率 ∈ [0, 100]%，渗透系数 ≥ 0.01，内摩擦角 ∈ [10°, 60°]，固化后干密度 ∈ [1.0, 2.6]。</w:t>
      </w:r>
    </w:p>
    <w:p>
      <w:r>
        <w:t>三种学习器：</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3120"/>
        <w:gridCol w:w="3120"/>
        <w:gridCol w:w="3120"/>
      </w:tblGrid>
      <w:tr>
        <w:tc>
          <w:tcPr>
            <w:tcW w:type="dxa" w:w="3120"/>
            <w:shd w:fill="F2F4F7"/>
            <w:vAlign w:val="center"/>
          </w:tcPr>
          <w:p>
            <w:pPr>
              <w:spacing w:after="0"/>
            </w:pPr>
            <w:r>
              <w:rPr>
                <w:rFonts w:ascii="宋体" w:hAnsi="宋体" w:eastAsia="宋体"/>
                <w:sz w:val="18"/>
              </w:rPr>
              <w:t>名称</w:t>
            </w:r>
          </w:p>
        </w:tc>
        <w:tc>
          <w:tcPr>
            <w:tcW w:type="dxa" w:w="3120"/>
            <w:shd w:fill="F2F4F7"/>
            <w:vAlign w:val="center"/>
          </w:tcPr>
          <w:p>
            <w:pPr>
              <w:spacing w:after="0"/>
            </w:pPr>
            <w:r>
              <w:rPr>
                <w:rFonts w:ascii="宋体" w:hAnsi="宋体" w:eastAsia="宋体"/>
                <w:sz w:val="18"/>
              </w:rPr>
              <w:t>实现</w:t>
            </w:r>
          </w:p>
        </w:tc>
        <w:tc>
          <w:tcPr>
            <w:tcW w:type="dxa" w:w="3120"/>
            <w:shd w:fill="F2F4F7"/>
            <w:vAlign w:val="center"/>
          </w:tcPr>
          <w:p>
            <w:pPr>
              <w:spacing w:after="0"/>
            </w:pPr>
            <w:r>
              <w:rPr>
                <w:rFonts w:ascii="宋体" w:hAnsi="宋体" w:eastAsia="宋体"/>
                <w:sz w:val="18"/>
              </w:rPr>
              <w:t>关键参数</w:t>
            </w:r>
          </w:p>
        </w:tc>
      </w:tr>
      <w:tr>
        <w:tc>
          <w:tcPr>
            <w:tcW w:type="dxa" w:w="3120"/>
            <w:vAlign w:val="center"/>
          </w:tcPr>
          <w:p>
            <w:pPr>
              <w:spacing w:after="0"/>
            </w:pPr>
            <w:r>
              <w:rPr>
                <w:rFonts w:ascii="宋体" w:hAnsi="宋体" w:eastAsia="宋体"/>
                <w:sz w:val="18"/>
              </w:rPr>
              <w:t>ensemble 随机森林残差模型[13]</w:t>
            </w:r>
          </w:p>
        </w:tc>
        <w:tc>
          <w:tcPr>
            <w:tcW w:type="dxa" w:w="3120"/>
            <w:vAlign w:val="center"/>
          </w:tcPr>
          <w:p>
            <w:pPr>
              <w:spacing w:after="0"/>
            </w:pPr>
            <w:r>
              <w:rPr>
                <w:rFonts w:ascii="宋体" w:hAnsi="宋体" w:eastAsia="宋体"/>
                <w:sz w:val="18"/>
              </w:rPr>
              <w:t>MultiOutputRegressor(RandomForestRegressor)</w:t>
            </w:r>
          </w:p>
        </w:tc>
        <w:tc>
          <w:tcPr>
            <w:tcW w:type="dxa" w:w="3120"/>
            <w:vAlign w:val="center"/>
          </w:tcPr>
          <w:p>
            <w:pPr>
              <w:spacing w:after="0"/>
            </w:pPr>
            <w:r>
              <w:rPr>
                <w:rFonts w:ascii="宋体" w:hAnsi="宋体" w:eastAsia="宋体"/>
                <w:sz w:val="18"/>
              </w:rPr>
              <w:t>240 棵树，样本 &lt; 60 时 max_depth=8，max_features=0.6</w:t>
            </w:r>
          </w:p>
        </w:tc>
      </w:tr>
      <w:tr>
        <w:tc>
          <w:tcPr>
            <w:tcW w:type="dxa" w:w="3120"/>
            <w:vAlign w:val="center"/>
          </w:tcPr>
          <w:p>
            <w:pPr>
              <w:spacing w:after="0"/>
            </w:pPr>
            <w:r>
              <w:rPr>
                <w:rFonts w:ascii="宋体" w:hAnsi="宋体" w:eastAsia="宋体"/>
                <w:sz w:val="18"/>
              </w:rPr>
              <w:t>gbrt 梯度提升残差模型[12]</w:t>
            </w:r>
          </w:p>
        </w:tc>
        <w:tc>
          <w:tcPr>
            <w:tcW w:type="dxa" w:w="3120"/>
            <w:vAlign w:val="center"/>
          </w:tcPr>
          <w:p>
            <w:pPr>
              <w:spacing w:after="0"/>
            </w:pPr>
            <w:r>
              <w:rPr>
                <w:rFonts w:ascii="宋体" w:hAnsi="宋体" w:eastAsia="宋体"/>
                <w:sz w:val="18"/>
              </w:rPr>
              <w:t>MultiOutputRegressor(GradientBoostingRegressor)</w:t>
            </w:r>
          </w:p>
        </w:tc>
        <w:tc>
          <w:tcPr>
            <w:tcW w:type="dxa" w:w="3120"/>
            <w:vAlign w:val="center"/>
          </w:tcPr>
          <w:p>
            <w:pPr>
              <w:spacing w:after="0"/>
            </w:pPr>
            <w:r>
              <w:rPr>
                <w:rFonts w:ascii="宋体" w:hAnsi="宋体" w:eastAsia="宋体"/>
                <w:sz w:val="18"/>
              </w:rPr>
              <w:t>180 轮，学习率 0.05，深度 3，subsample 0.85</w:t>
            </w:r>
          </w:p>
        </w:tc>
      </w:tr>
      <w:tr>
        <w:tc>
          <w:tcPr>
            <w:tcW w:type="dxa" w:w="3120"/>
            <w:vAlign w:val="center"/>
          </w:tcPr>
          <w:p>
            <w:pPr>
              <w:spacing w:after="0"/>
            </w:pPr>
            <w:r>
              <w:rPr>
                <w:rFonts w:ascii="宋体" w:hAnsi="宋体" w:eastAsia="宋体"/>
                <w:sz w:val="18"/>
              </w:rPr>
              <w:t>bp BP 神经网络残差模型</w:t>
            </w:r>
          </w:p>
        </w:tc>
        <w:tc>
          <w:tcPr>
            <w:tcW w:type="dxa" w:w="3120"/>
            <w:vAlign w:val="center"/>
          </w:tcPr>
          <w:p>
            <w:pPr>
              <w:spacing w:after="0"/>
            </w:pPr>
            <w:r>
              <w:rPr>
                <w:rFonts w:ascii="宋体" w:hAnsi="宋体" w:eastAsia="宋体"/>
                <w:sz w:val="18"/>
              </w:rPr>
              <w:t>StandardScaler + MLPRegressor</w:t>
            </w:r>
          </w:p>
        </w:tc>
        <w:tc>
          <w:tcPr>
            <w:tcW w:type="dxa" w:w="3120"/>
            <w:vAlign w:val="center"/>
          </w:tcPr>
          <w:p>
            <w:pPr>
              <w:spacing w:after="0"/>
            </w:pPr>
            <w:r>
              <w:rPr>
                <w:rFonts w:ascii="宋体" w:hAnsi="宋体" w:eastAsia="宋体"/>
                <w:sz w:val="18"/>
              </w:rPr>
              <w:t>隐层 (48, 24)，ReLU，Adam，L2=1e-3</w:t>
            </w:r>
          </w:p>
        </w:tc>
      </w:tr>
    </w:tbl>
    <w:p>
      <w:r>
        <w:t>模型解析优先级（resolve_model）：已存模型 → 样本数 ≥ 8 时临时训练 → 纯机理回退（返回 fallback=true 与 requested）。缺少 featureNames 的旧版模型视为不兼容并忽略。模型以 joblib 序列化后 base64 存入 SQLite。</w:t>
      </w:r>
    </w:p>
    <w:p>
      <w:r>
        <w:t>decompose() 返回 {baseline, correction, final} 三组 7 项指标，恒有 baseline + correction = final。</w:t>
      </w:r>
    </w:p>
    <w:p>
      <w:pPr>
        <w:pStyle w:val="Heading3"/>
      </w:pPr>
      <w:r>
        <w:t>3.3 模型评估（evaluation.py）</w:t>
      </w:r>
    </w:p>
    <w:p>
      <w:r>
        <w:t>自适应 K 折交叉验证：样本数 n &lt; 8 不评估；n &lt; 15 取 3 折；n &lt; 60 取 5 折；否则 10 折（KFold(shuffle=True, random_state=42)）。</w:t>
      </w:r>
    </w:p>
    <w:p>
      <w:r>
        <w:t>对每个学习器输出：</w:t>
      </w:r>
    </w:p>
    <w:p>
      <w:pPr>
        <w:pStyle w:val="ListBullet"/>
      </w:pPr>
      <w:r>
        <w:t>validation：折外预测（OOF）的逐指标 R²、RMSE、MAE、MAPE 及综合值（逐指标平均）；</w:t>
      </w:r>
    </w:p>
    <w:p>
      <w:pPr>
        <w:pStyle w:val="ListBullet"/>
      </w:pPr>
      <w:r>
        <w:t>train：全量训练后在训练集上的同一组指标；</w:t>
      </w:r>
    </w:p>
    <w:p>
      <w:pPr>
        <w:pStyle w:val="ListBullet"/>
      </w:pPr>
      <w:r>
        <w:t>baseline：纯机理模型在同一数据上的指标，作为对照；</w:t>
      </w:r>
    </w:p>
    <w:p>
      <w:pPr>
        <w:pStyle w:val="ListBullet"/>
      </w:pPr>
      <w:r>
        <w:t>overfitGap = 训练 R² − 验证 R²，附中文结论；</w:t>
      </w:r>
    </w:p>
    <w:p>
      <w:pPr>
        <w:pStyle w:val="ListBullet"/>
      </w:pPr>
      <w:r>
        <w:t>evaluate_all() 按验证综合 R² 排序给出 recommended 与 ranking。</w:t>
      </w:r>
    </w:p>
    <w:p>
      <w:pPr>
        <w:pStyle w:val="Heading3"/>
      </w:pPr>
      <w:r>
        <w:t>3.4 敏感性分析（sensitivity.py）</w:t>
      </w:r>
    </w:p>
    <w:p>
      <w:r>
        <w:t>三种互补方法，输入均为向量化预测函数 predictor(matrix) -&gt; (n, 7)：</w:t>
      </w:r>
    </w:p>
    <w:p>
      <w:pPr>
        <w:pStyle w:val="ListNumber"/>
      </w:pPr>
      <w:r>
        <w:t>**OAT 弹性系数（局部）**：围绕当前方案，每个参数在其区间宽度 ±10% 处取中心差分，无量纲弹性 \(E_{ij} = (\Delta y_j / y_j) / (\Delta x_i / x_i)\)。参数重要度 = 7 项指标 |E| 的均值，归一化为合计 100%。</w:t>
      </w:r>
    </w:p>
    <w:p>
      <w:pPr>
        <w:pStyle w:val="ListNumber"/>
      </w:pPr>
      <w:r>
        <w:t>**Morris 基本效应（全局筛选）**：在单位超立方上生成 r 条轨迹（默认 12，水平数 6，Δ = 0.6），每条轨迹按随机顺序逐参数移动，基本效应 \(EE_i = [y(x + \Delta e_i) - y(x)] / \Delta\)[9]。μ* 为基本效应绝对值的均值，用来避免正负效应抵消[10]；σ 为标准差。页面同时给出 σ/μ*，大于 1 时标出。评估次数 = r × (k+1) = r × 9。轨迹数限定在 4～60。</w:t>
      </w:r>
    </w:p>
    <w:p>
      <w:pPr>
        <w:pStyle w:val="ListNumber"/>
      </w:pPr>
      <w:r>
        <w:t>**单参数响应曲线**：固定其余参数于当前方案，单参数在其区间均匀取 15 点，输出 7 项指标响应。界面称“偏依赖曲线”。Friedman 的偏依赖是对其余变量在样本上取平均[12]，本曲线不是那个量。</w:t>
      </w:r>
    </w:p>
    <w:p>
      <w:pPr>
        <w:pStyle w:val="Heading3"/>
      </w:pPr>
      <w:r>
        <w:t>3.5 多目标配比优化（optimizer.py）</w:t>
      </w:r>
    </w:p>
    <w:p>
      <w:r>
        <w:t>目标函数（最大化）：</w:t>
      </w:r>
    </w:p>
    <w:p>
      <w:r>
        <w:t>\[ J(x) = \sum_i w_i\, g_i(x), \quad g_i = \begin{cases} \dfrac{y_i - \min_i}{\max_i - \min_i} &amp; \text{越大越好} \\[6pt] \dfrac{\max_i - y_i}{\max_i - \min_i} &amp; \text{越小越好 / 成本} \end{cases} \]</w:t>
      </w:r>
    </w:p>
    <w:p>
      <w:r>
        <w:t>相对成本指数：\( \mathrm{cost} = N \cdot \left(0.4\dfrac{V_b \cdot OD}{900} + 0.6\dfrac{C \cdot V_f}{900}\right) \times 100 \)</w:t>
      </w:r>
    </w:p>
    <w:p>
      <w:r>
        <w:t>默认权重：UCS 0.30、崩解率 0.15、渗透系数 0.10、CaCO₃ 0.10、黏聚力 0.05、内摩擦角 0.05、成本 0.25。</w:t>
      </w:r>
    </w:p>
    <w:p>
      <w:r>
        <w:t>求解流程：</w:t>
      </w:r>
    </w:p>
    <w:p>
      <w:pPr>
        <w:pStyle w:val="ListNumber"/>
      </w:pPr>
      <w:r>
        <w:t>搜索域 = 参数字典区间 ∩ 用户边界 ∩（可选）历史样本包络（外扩 5%）；用户固定的参数不参与采样；</w:t>
      </w:r>
    </w:p>
    <w:p>
      <w:pPr>
        <w:pStyle w:val="ListNumber"/>
      </w:pPr>
      <w:r>
        <w:t>拉丁超立方 400 点全局采样[11]；</w:t>
      </w:r>
    </w:p>
    <w:p>
      <w:pPr>
        <w:pStyle w:val="ListNumber"/>
      </w:pPr>
      <w:r>
        <w:t>两轮局部细化：取得分前 6 的候选，各生成 40 个高斯扰动子代（σ = 区间宽度 × 0.08 / 轮次）；</w:t>
      </w:r>
    </w:p>
    <w:p>
      <w:pPr>
        <w:pStyle w:val="ListNumber"/>
      </w:pPr>
      <w:r>
        <w:t>去重后统一评估，输出 Top-N（参数四舍五入后去重）、UCS-成本 Pareto 前沿（成本升序扫描非支配点）与全部评估点散点。</w:t>
      </w:r>
    </w:p>
    <w:p>
      <w:r>
        <w:t>rank_schemes() 复用同一评分函数对用户已有方案排序。</w:t>
      </w:r>
    </w:p>
    <w:p>
      <w:pPr>
        <w:pStyle w:val="Heading3"/>
      </w:pPr>
      <w:r>
        <w:t>3.6 统计分析（statistics.py）</w:t>
      </w:r>
    </w:p>
    <w:p>
      <w:pPr>
        <w:pStyle w:val="ListBullet"/>
      </w:pPr>
      <w:r>
        <w:t>**异常值**：先按 Tukey 的四分位距围栏粗筛（k=1.5）[15]，再对 n ≥ 7 的数据做迭代 Grubbs 检验（α=0.05，最多 5 轮，临界值 \(G_{crit} = \frac{n-1}{\sqrt n}\sqrt{\frac{t^2}{n-2+t^2}}\)，\(t = t_{\alpha/2n,\ n-2}\)）[14]。每条被剔除样本记录方法、阈值与数值。</w:t>
      </w:r>
    </w:p>
    <w:p>
      <w:pPr>
        <w:pStyle w:val="ListBullet"/>
      </w:pPr>
      <w:r>
        <w:t>**描述统计**：7 项指标的 count / mean / std / cv / min / q1 / median / q3 / max / skew。</w:t>
      </w:r>
    </w:p>
    <w:p>
      <w:pPr>
        <w:pStyle w:val="ListBullet"/>
      </w:pPr>
      <w:r>
        <w:t>**单因素方差分析**：因素取值 ≤ 5 个水平时直接分组，否则按五分位数分箱；分组按因素水平从小到大排列。计算 SS_between、SS_within、F、p（scipy.stats.f.sf）、η²，并生成中文结论。报告和页面中 p &lt; 0.0001 时写成“&lt;0.0001”。</w:t>
      </w:r>
    </w:p>
    <w:p>
      <w:pPr>
        <w:pStyle w:val="ListBullet"/>
      </w:pPr>
      <w:r>
        <w:t>**相关矩阵**：8 参数 + 7 指标共 15 维 Pearson r 与 p 值，提取 |r| 最大且 p &lt; 0.05 的参数-指标对。</w:t>
      </w:r>
    </w:p>
    <w:p>
      <w:pPr>
        <w:pStyle w:val="ListBullet"/>
      </w:pPr>
      <w:r>
        <w:t>**回归**：UCS-CaCO₃ 线性回归（斜率、截距、R²、p）与幂函数回归（对数空间最小二乘）。</w:t>
      </w:r>
    </w:p>
    <w:p>
      <w:pPr>
        <w:pStyle w:val="Heading3"/>
      </w:pPr>
      <w:r>
        <w:t>3.7 输入校验（validators.py）</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3120"/>
        <w:gridCol w:w="3120"/>
        <w:gridCol w:w="3120"/>
      </w:tblGrid>
      <w:tr>
        <w:tc>
          <w:tcPr>
            <w:tcW w:type="dxa" w:w="3120"/>
            <w:shd w:fill="F2F4F7"/>
            <w:vAlign w:val="center"/>
          </w:tcPr>
          <w:p>
            <w:pPr>
              <w:spacing w:after="0"/>
            </w:pPr>
            <w:r>
              <w:rPr>
                <w:rFonts w:ascii="宋体" w:hAnsi="宋体" w:eastAsia="宋体"/>
                <w:sz w:val="18"/>
              </w:rPr>
              <w:t>层次</w:t>
            </w:r>
          </w:p>
        </w:tc>
        <w:tc>
          <w:tcPr>
            <w:tcW w:type="dxa" w:w="3120"/>
            <w:shd w:fill="F2F4F7"/>
            <w:vAlign w:val="center"/>
          </w:tcPr>
          <w:p>
            <w:pPr>
              <w:spacing w:after="0"/>
            </w:pPr>
            <w:r>
              <w:rPr>
                <w:rFonts w:ascii="宋体" w:hAnsi="宋体" w:eastAsia="宋体"/>
                <w:sz w:val="18"/>
              </w:rPr>
              <w:t>规则</w:t>
            </w:r>
          </w:p>
        </w:tc>
        <w:tc>
          <w:tcPr>
            <w:tcW w:type="dxa" w:w="3120"/>
            <w:shd w:fill="F2F4F7"/>
            <w:vAlign w:val="center"/>
          </w:tcPr>
          <w:p>
            <w:pPr>
              <w:spacing w:after="0"/>
            </w:pPr>
            <w:r>
              <w:rPr>
                <w:rFonts w:ascii="宋体" w:hAnsi="宋体" w:eastAsia="宋体"/>
                <w:sz w:val="18"/>
              </w:rPr>
              <w:t>结果</w:t>
            </w:r>
          </w:p>
        </w:tc>
      </w:tr>
      <w:tr>
        <w:tc>
          <w:tcPr>
            <w:tcW w:type="dxa" w:w="3120"/>
            <w:vAlign w:val="center"/>
          </w:tcPr>
          <w:p>
            <w:pPr>
              <w:spacing w:after="0"/>
            </w:pPr>
            <w:r>
              <w:rPr>
                <w:rFonts w:ascii="宋体" w:hAnsi="宋体" w:eastAsia="宋体"/>
                <w:sz w:val="18"/>
              </w:rPr>
              <w:t>结构</w:t>
            </w:r>
          </w:p>
        </w:tc>
        <w:tc>
          <w:tcPr>
            <w:tcW w:type="dxa" w:w="3120"/>
            <w:vAlign w:val="center"/>
          </w:tcPr>
          <w:p>
            <w:pPr>
              <w:spacing w:after="0"/>
            </w:pPr>
            <w:r>
              <w:rPr>
                <w:rFonts w:ascii="宋体" w:hAnsi="宋体" w:eastAsia="宋体"/>
                <w:sz w:val="18"/>
              </w:rPr>
              <w:t>8 项参数（样本还需 7 项指标）必须存在且可转为数值；缺少名称自动命名</w:t>
            </w:r>
          </w:p>
        </w:tc>
        <w:tc>
          <w:tcPr>
            <w:tcW w:type="dxa" w:w="3120"/>
            <w:vAlign w:val="center"/>
          </w:tcPr>
          <w:p>
            <w:pPr>
              <w:spacing w:after="0"/>
            </w:pPr>
            <w:r>
              <w:rPr>
                <w:rFonts w:ascii="宋体" w:hAnsi="宋体" w:eastAsia="宋体"/>
                <w:sz w:val="18"/>
              </w:rPr>
              <w:t>错误 / 警告</w:t>
            </w:r>
          </w:p>
        </w:tc>
      </w:tr>
      <w:tr>
        <w:tc>
          <w:tcPr>
            <w:tcW w:type="dxa" w:w="3120"/>
            <w:vAlign w:val="center"/>
          </w:tcPr>
          <w:p>
            <w:pPr>
              <w:spacing w:after="0"/>
            </w:pPr>
            <w:r>
              <w:rPr>
                <w:rFonts w:ascii="宋体" w:hAnsi="宋体" w:eastAsia="宋体"/>
                <w:sz w:val="18"/>
              </w:rPr>
              <w:t>区间</w:t>
            </w:r>
          </w:p>
        </w:tc>
        <w:tc>
          <w:tcPr>
            <w:tcW w:type="dxa" w:w="3120"/>
            <w:vAlign w:val="center"/>
          </w:tcPr>
          <w:p>
            <w:pPr>
              <w:spacing w:after="0"/>
            </w:pPr>
            <w:r>
              <w:rPr>
                <w:rFonts w:ascii="宋体" w:hAnsi="宋体" w:eastAsia="宋体"/>
                <w:sz w:val="18"/>
              </w:rPr>
              <w:t>参数落在字典区间内；固化次数取整；指标非负；崩解率 ≤ 100%</w:t>
            </w:r>
          </w:p>
        </w:tc>
        <w:tc>
          <w:tcPr>
            <w:tcW w:type="dxa" w:w="3120"/>
            <w:vAlign w:val="center"/>
          </w:tcPr>
          <w:p>
            <w:pPr>
              <w:spacing w:after="0"/>
            </w:pPr>
            <w:r>
              <w:rPr>
                <w:rFonts w:ascii="宋体" w:hAnsi="宋体" w:eastAsia="宋体"/>
                <w:sz w:val="18"/>
              </w:rPr>
              <w:t>错误 / 警告</w:t>
            </w:r>
          </w:p>
        </w:tc>
      </w:tr>
      <w:tr>
        <w:tc>
          <w:tcPr>
            <w:tcW w:type="dxa" w:w="3120"/>
            <w:vAlign w:val="center"/>
          </w:tcPr>
          <w:p>
            <w:pPr>
              <w:spacing w:after="0"/>
            </w:pPr>
            <w:r>
              <w:rPr>
                <w:rFonts w:ascii="宋体" w:hAnsi="宋体" w:eastAsia="宋体"/>
                <w:sz w:val="18"/>
              </w:rPr>
              <w:t>一致性</w:t>
            </w:r>
          </w:p>
        </w:tc>
        <w:tc>
          <w:tcPr>
            <w:tcW w:type="dxa" w:w="3120"/>
            <w:vAlign w:val="center"/>
          </w:tcPr>
          <w:p>
            <w:pPr>
              <w:spacing w:after="0"/>
            </w:pPr>
            <w:r>
              <w:rPr>
                <w:rFonts w:ascii="宋体" w:hAnsi="宋体" w:eastAsia="宋体"/>
                <w:sz w:val="18"/>
              </w:rPr>
              <w:t>固化后干密度不低于初始干密度（容差 0.02）；UCS 实测与机理估算偏差 &gt; 60% 提示核对单位</w:t>
            </w:r>
          </w:p>
        </w:tc>
        <w:tc>
          <w:tcPr>
            <w:tcW w:type="dxa" w:w="3120"/>
            <w:vAlign w:val="center"/>
          </w:tcPr>
          <w:p>
            <w:pPr>
              <w:spacing w:after="0"/>
            </w:pPr>
            <w:r>
              <w:rPr>
                <w:rFonts w:ascii="宋体" w:hAnsi="宋体" w:eastAsia="宋体"/>
                <w:sz w:val="18"/>
              </w:rPr>
              <w:t>警告</w:t>
            </w:r>
          </w:p>
        </w:tc>
      </w:tr>
    </w:tbl>
    <w:p>
      <w:r>
        <w:t>parse_csv() 支持 UTF-8（含 BOM）文本，表头通过 canonical_key() 映射英文键名、中文名称及常见别名（如"干密度"、"OD值"、"CaCO3"），未识别的表头单独返回。</w:t>
      </w:r>
    </w:p>
    <w:p>
      <w:pPr>
        <w:pStyle w:val="Heading3"/>
      </w:pPr>
      <w:r>
        <w:t>3.8 报告生成（report.py）</w:t>
      </w:r>
    </w:p>
    <w:p>
      <w:r>
        <w:t>纯 Python 生成自包含 HTML，内嵌 SVG 图表（柱状图、散点图、分组柱状图），不依赖浏览器端渲染。共 8 章：方案参数、机理解释链条、性能预测与分解、参数敏感性、模型评估、统计分析、配比优化建议、结论。</w:t>
      </w:r>
    </w:p>
    <w:p>
      <w:pPr>
        <w:pStyle w:val="Heading2"/>
      </w:pPr>
      <w:r>
        <w:t>4. 数据字典</w:t>
      </w:r>
    </w:p>
    <w:p>
      <w:pPr>
        <w:pStyle w:val="Heading3"/>
      </w:pPr>
      <w:r>
        <w:t>4.1 试验参数（输入，8 项）</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1872"/>
        <w:gridCol w:w="1872"/>
        <w:gridCol w:w="1872"/>
        <w:gridCol w:w="1872"/>
        <w:gridCol w:w="1872"/>
      </w:tblGrid>
      <w:tr>
        <w:tc>
          <w:tcPr>
            <w:tcW w:type="dxa" w:w="1872"/>
            <w:shd w:fill="F2F4F7"/>
            <w:vAlign w:val="center"/>
          </w:tcPr>
          <w:p>
            <w:pPr>
              <w:spacing w:after="0"/>
            </w:pPr>
            <w:r>
              <w:rPr>
                <w:rFonts w:ascii="宋体" w:hAnsi="宋体" w:eastAsia="宋体"/>
                <w:sz w:val="18"/>
              </w:rPr>
              <w:t>键名</w:t>
            </w:r>
          </w:p>
        </w:tc>
        <w:tc>
          <w:tcPr>
            <w:tcW w:type="dxa" w:w="1872"/>
            <w:shd w:fill="F2F4F7"/>
            <w:vAlign w:val="center"/>
          </w:tcPr>
          <w:p>
            <w:pPr>
              <w:spacing w:after="0"/>
            </w:pPr>
            <w:r>
              <w:rPr>
                <w:rFonts w:ascii="宋体" w:hAnsi="宋体" w:eastAsia="宋体"/>
                <w:sz w:val="18"/>
              </w:rPr>
              <w:t>名称</w:t>
            </w:r>
          </w:p>
        </w:tc>
        <w:tc>
          <w:tcPr>
            <w:tcW w:type="dxa" w:w="1872"/>
            <w:shd w:fill="F2F4F7"/>
            <w:vAlign w:val="center"/>
          </w:tcPr>
          <w:p>
            <w:pPr>
              <w:spacing w:after="0"/>
            </w:pPr>
            <w:r>
              <w:rPr>
                <w:rFonts w:ascii="宋体" w:hAnsi="宋体" w:eastAsia="宋体"/>
                <w:sz w:val="18"/>
              </w:rPr>
              <w:t>单位</w:t>
            </w:r>
          </w:p>
        </w:tc>
        <w:tc>
          <w:tcPr>
            <w:tcW w:type="dxa" w:w="1872"/>
            <w:shd w:fill="F2F4F7"/>
            <w:vAlign w:val="center"/>
          </w:tcPr>
          <w:p>
            <w:pPr>
              <w:spacing w:after="0"/>
            </w:pPr>
            <w:r>
              <w:rPr>
                <w:rFonts w:ascii="宋体" w:hAnsi="宋体" w:eastAsia="宋体"/>
                <w:sz w:val="18"/>
              </w:rPr>
              <w:t>合理区间</w:t>
            </w:r>
          </w:p>
        </w:tc>
        <w:tc>
          <w:tcPr>
            <w:tcW w:type="dxa" w:w="1872"/>
            <w:shd w:fill="F2F4F7"/>
            <w:vAlign w:val="center"/>
          </w:tcPr>
          <w:p>
            <w:pPr>
              <w:spacing w:after="0"/>
            </w:pPr>
            <w:r>
              <w:rPr>
                <w:rFonts w:ascii="宋体" w:hAnsi="宋体" w:eastAsia="宋体"/>
                <w:sz w:val="18"/>
              </w:rPr>
              <w:t>物理含义</w:t>
            </w:r>
          </w:p>
        </w:tc>
      </w:tr>
      <w:tr>
        <w:tc>
          <w:tcPr>
            <w:tcW w:type="dxa" w:w="1872"/>
            <w:vAlign w:val="center"/>
          </w:tcPr>
          <w:p>
            <w:pPr>
              <w:spacing w:after="0"/>
            </w:pPr>
            <w:r>
              <w:rPr>
                <w:rFonts w:ascii="宋体" w:hAnsi="宋体" w:eastAsia="宋体"/>
                <w:sz w:val="18"/>
              </w:rPr>
              <w:t>dryDensity</w:t>
            </w:r>
          </w:p>
        </w:tc>
        <w:tc>
          <w:tcPr>
            <w:tcW w:type="dxa" w:w="1872"/>
            <w:vAlign w:val="center"/>
          </w:tcPr>
          <w:p>
            <w:pPr>
              <w:spacing w:after="0"/>
            </w:pPr>
            <w:r>
              <w:rPr>
                <w:rFonts w:ascii="宋体" w:hAnsi="宋体" w:eastAsia="宋体"/>
                <w:sz w:val="18"/>
              </w:rPr>
              <w:t>砂土干密度</w:t>
            </w:r>
          </w:p>
        </w:tc>
        <w:tc>
          <w:tcPr>
            <w:tcW w:type="dxa" w:w="1872"/>
            <w:vAlign w:val="center"/>
          </w:tcPr>
          <w:p>
            <w:pPr>
              <w:spacing w:after="0"/>
            </w:pPr>
            <w:r>
              <w:rPr>
                <w:rFonts w:ascii="宋体" w:hAnsi="宋体" w:eastAsia="宋体"/>
                <w:sz w:val="18"/>
              </w:rPr>
              <w:t>g/cm³</w:t>
            </w:r>
          </w:p>
        </w:tc>
        <w:tc>
          <w:tcPr>
            <w:tcW w:type="dxa" w:w="1872"/>
            <w:vAlign w:val="center"/>
          </w:tcPr>
          <w:p>
            <w:pPr>
              <w:spacing w:after="0"/>
            </w:pPr>
            <w:r>
              <w:rPr>
                <w:rFonts w:ascii="宋体" w:hAnsi="宋体" w:eastAsia="宋体"/>
                <w:sz w:val="18"/>
              </w:rPr>
              <w:t>1.2 ~ 2.2</w:t>
            </w:r>
          </w:p>
        </w:tc>
        <w:tc>
          <w:tcPr>
            <w:tcW w:type="dxa" w:w="1872"/>
            <w:vAlign w:val="center"/>
          </w:tcPr>
          <w:p>
            <w:pPr>
              <w:spacing w:after="0"/>
            </w:pPr>
            <w:r>
              <w:rPr>
                <w:rFonts w:ascii="宋体" w:hAnsi="宋体" w:eastAsia="宋体"/>
                <w:sz w:val="18"/>
              </w:rPr>
              <w:t>制样目标干密度，决定初始孔隙比</w:t>
            </w:r>
          </w:p>
        </w:tc>
      </w:tr>
      <w:tr>
        <w:tc>
          <w:tcPr>
            <w:tcW w:type="dxa" w:w="1872"/>
            <w:vAlign w:val="center"/>
          </w:tcPr>
          <w:p>
            <w:pPr>
              <w:spacing w:after="0"/>
            </w:pPr>
            <w:r>
              <w:rPr>
                <w:rFonts w:ascii="宋体" w:hAnsi="宋体" w:eastAsia="宋体"/>
                <w:sz w:val="18"/>
              </w:rPr>
              <w:t>fiberContent</w:t>
            </w:r>
          </w:p>
        </w:tc>
        <w:tc>
          <w:tcPr>
            <w:tcW w:type="dxa" w:w="1872"/>
            <w:vAlign w:val="center"/>
          </w:tcPr>
          <w:p>
            <w:pPr>
              <w:spacing w:after="0"/>
            </w:pPr>
            <w:r>
              <w:rPr>
                <w:rFonts w:ascii="宋体" w:hAnsi="宋体" w:eastAsia="宋体"/>
                <w:sz w:val="18"/>
              </w:rPr>
              <w:t>椰壳纤维掺量</w:t>
            </w:r>
          </w:p>
        </w:tc>
        <w:tc>
          <w:tcPr>
            <w:tcW w:type="dxa" w:w="1872"/>
            <w:vAlign w:val="center"/>
          </w:tcPr>
          <w:p>
            <w:pPr>
              <w:spacing w:after="0"/>
            </w:pPr>
            <w:r>
              <w:rPr>
                <w:rFonts w:ascii="宋体" w:hAnsi="宋体" w:eastAsia="宋体"/>
                <w:sz w:val="18"/>
              </w:rPr>
              <w:t>%</w:t>
            </w:r>
          </w:p>
        </w:tc>
        <w:tc>
          <w:tcPr>
            <w:tcW w:type="dxa" w:w="1872"/>
            <w:vAlign w:val="center"/>
          </w:tcPr>
          <w:p>
            <w:pPr>
              <w:spacing w:after="0"/>
            </w:pPr>
            <w:r>
              <w:rPr>
                <w:rFonts w:ascii="宋体" w:hAnsi="宋体" w:eastAsia="宋体"/>
                <w:sz w:val="18"/>
              </w:rPr>
              <w:t>0 ~ 1.0</w:t>
            </w:r>
          </w:p>
        </w:tc>
        <w:tc>
          <w:tcPr>
            <w:tcW w:type="dxa" w:w="1872"/>
            <w:vAlign w:val="center"/>
          </w:tcPr>
          <w:p>
            <w:pPr>
              <w:spacing w:after="0"/>
            </w:pPr>
            <w:r>
              <w:rPr>
                <w:rFonts w:ascii="宋体" w:hAnsi="宋体" w:eastAsia="宋体"/>
                <w:sz w:val="18"/>
              </w:rPr>
              <w:t>纤维质量占干砂质量百分比</w:t>
            </w:r>
          </w:p>
        </w:tc>
      </w:tr>
      <w:tr>
        <w:tc>
          <w:tcPr>
            <w:tcW w:type="dxa" w:w="1872"/>
            <w:vAlign w:val="center"/>
          </w:tcPr>
          <w:p>
            <w:pPr>
              <w:spacing w:after="0"/>
            </w:pPr>
            <w:r>
              <w:rPr>
                <w:rFonts w:ascii="宋体" w:hAnsi="宋体" w:eastAsia="宋体"/>
                <w:sz w:val="18"/>
              </w:rPr>
              <w:t>bacterialVolume</w:t>
            </w:r>
          </w:p>
        </w:tc>
        <w:tc>
          <w:tcPr>
            <w:tcW w:type="dxa" w:w="1872"/>
            <w:vAlign w:val="center"/>
          </w:tcPr>
          <w:p>
            <w:pPr>
              <w:spacing w:after="0"/>
            </w:pPr>
            <w:r>
              <w:rPr>
                <w:rFonts w:ascii="宋体" w:hAnsi="宋体" w:eastAsia="宋体"/>
                <w:sz w:val="18"/>
              </w:rPr>
              <w:t>菌液用量</w:t>
            </w:r>
          </w:p>
        </w:tc>
        <w:tc>
          <w:tcPr>
            <w:tcW w:type="dxa" w:w="1872"/>
            <w:vAlign w:val="center"/>
          </w:tcPr>
          <w:p>
            <w:pPr>
              <w:spacing w:after="0"/>
            </w:pPr>
            <w:r>
              <w:rPr>
                <w:rFonts w:ascii="宋体" w:hAnsi="宋体" w:eastAsia="宋体"/>
                <w:sz w:val="18"/>
              </w:rPr>
              <w:t>mL</w:t>
            </w:r>
          </w:p>
        </w:tc>
        <w:tc>
          <w:tcPr>
            <w:tcW w:type="dxa" w:w="1872"/>
            <w:vAlign w:val="center"/>
          </w:tcPr>
          <w:p>
            <w:pPr>
              <w:spacing w:after="0"/>
            </w:pPr>
            <w:r>
              <w:rPr>
                <w:rFonts w:ascii="宋体" w:hAnsi="宋体" w:eastAsia="宋体"/>
                <w:sz w:val="18"/>
              </w:rPr>
              <w:t>10 ~ 300</w:t>
            </w:r>
          </w:p>
        </w:tc>
        <w:tc>
          <w:tcPr>
            <w:tcW w:type="dxa" w:w="1872"/>
            <w:vAlign w:val="center"/>
          </w:tcPr>
          <w:p>
            <w:pPr>
              <w:spacing w:after="0"/>
            </w:pPr>
            <w:r>
              <w:rPr>
                <w:rFonts w:ascii="宋体" w:hAnsi="宋体" w:eastAsia="宋体"/>
                <w:sz w:val="18"/>
              </w:rPr>
              <w:t>单次灌注菌液体积</w:t>
            </w:r>
          </w:p>
        </w:tc>
      </w:tr>
      <w:tr>
        <w:tc>
          <w:tcPr>
            <w:tcW w:type="dxa" w:w="1872"/>
            <w:vAlign w:val="center"/>
          </w:tcPr>
          <w:p>
            <w:pPr>
              <w:spacing w:after="0"/>
            </w:pPr>
            <w:r>
              <w:rPr>
                <w:rFonts w:ascii="宋体" w:hAnsi="宋体" w:eastAsia="宋体"/>
                <w:sz w:val="18"/>
              </w:rPr>
              <w:t>odValue</w:t>
            </w:r>
          </w:p>
        </w:tc>
        <w:tc>
          <w:tcPr>
            <w:tcW w:type="dxa" w:w="1872"/>
            <w:vAlign w:val="center"/>
          </w:tcPr>
          <w:p>
            <w:pPr>
              <w:spacing w:after="0"/>
            </w:pPr>
            <w:r>
              <w:rPr>
                <w:rFonts w:ascii="宋体" w:hAnsi="宋体" w:eastAsia="宋体"/>
                <w:sz w:val="18"/>
              </w:rPr>
              <w:t>菌液 OD600</w:t>
            </w:r>
          </w:p>
        </w:tc>
        <w:tc>
          <w:tcPr>
            <w:tcW w:type="dxa" w:w="1872"/>
            <w:vAlign w:val="center"/>
          </w:tcPr>
          <w:p>
            <w:pPr>
              <w:spacing w:after="0"/>
            </w:pPr>
            <w:r>
              <w:rPr>
                <w:rFonts w:ascii="宋体" w:hAnsi="宋体" w:eastAsia="宋体"/>
                <w:sz w:val="18"/>
              </w:rPr>
              <w:t>-</w:t>
            </w:r>
          </w:p>
        </w:tc>
        <w:tc>
          <w:tcPr>
            <w:tcW w:type="dxa" w:w="1872"/>
            <w:vAlign w:val="center"/>
          </w:tcPr>
          <w:p>
            <w:pPr>
              <w:spacing w:after="0"/>
            </w:pPr>
            <w:r>
              <w:rPr>
                <w:rFonts w:ascii="宋体" w:hAnsi="宋体" w:eastAsia="宋体"/>
                <w:sz w:val="18"/>
              </w:rPr>
              <w:t>0.2 ~ 3.0</w:t>
            </w:r>
          </w:p>
        </w:tc>
        <w:tc>
          <w:tcPr>
            <w:tcW w:type="dxa" w:w="1872"/>
            <w:vAlign w:val="center"/>
          </w:tcPr>
          <w:p>
            <w:pPr>
              <w:spacing w:after="0"/>
            </w:pPr>
            <w:r>
              <w:rPr>
                <w:rFonts w:ascii="宋体" w:hAnsi="宋体" w:eastAsia="宋体"/>
                <w:sz w:val="18"/>
              </w:rPr>
              <w:t>菌液光密度，表征细胞浓度</w:t>
            </w:r>
          </w:p>
        </w:tc>
      </w:tr>
      <w:tr>
        <w:tc>
          <w:tcPr>
            <w:tcW w:type="dxa" w:w="1872"/>
            <w:vAlign w:val="center"/>
          </w:tcPr>
          <w:p>
            <w:pPr>
              <w:spacing w:after="0"/>
            </w:pPr>
            <w:r>
              <w:rPr>
                <w:rFonts w:ascii="宋体" w:hAnsi="宋体" w:eastAsia="宋体"/>
                <w:sz w:val="18"/>
              </w:rPr>
              <w:t>temperature</w:t>
            </w:r>
          </w:p>
        </w:tc>
        <w:tc>
          <w:tcPr>
            <w:tcW w:type="dxa" w:w="1872"/>
            <w:vAlign w:val="center"/>
          </w:tcPr>
          <w:p>
            <w:pPr>
              <w:spacing w:after="0"/>
            </w:pPr>
            <w:r>
              <w:rPr>
                <w:rFonts w:ascii="宋体" w:hAnsi="宋体" w:eastAsia="宋体"/>
                <w:sz w:val="18"/>
              </w:rPr>
              <w:t>固化温度</w:t>
            </w:r>
          </w:p>
        </w:tc>
        <w:tc>
          <w:tcPr>
            <w:tcW w:type="dxa" w:w="1872"/>
            <w:vAlign w:val="center"/>
          </w:tcPr>
          <w:p>
            <w:pPr>
              <w:spacing w:after="0"/>
            </w:pPr>
            <w:r>
              <w:rPr>
                <w:rFonts w:ascii="宋体" w:hAnsi="宋体" w:eastAsia="宋体"/>
                <w:sz w:val="18"/>
              </w:rPr>
              <w:t>℃</w:t>
            </w:r>
          </w:p>
        </w:tc>
        <w:tc>
          <w:tcPr>
            <w:tcW w:type="dxa" w:w="1872"/>
            <w:vAlign w:val="center"/>
          </w:tcPr>
          <w:p>
            <w:pPr>
              <w:spacing w:after="0"/>
            </w:pPr>
            <w:r>
              <w:rPr>
                <w:rFonts w:ascii="宋体" w:hAnsi="宋体" w:eastAsia="宋体"/>
                <w:sz w:val="18"/>
              </w:rPr>
              <w:t>20 ~ 40</w:t>
            </w:r>
          </w:p>
        </w:tc>
        <w:tc>
          <w:tcPr>
            <w:tcW w:type="dxa" w:w="1872"/>
            <w:vAlign w:val="center"/>
          </w:tcPr>
          <w:p>
            <w:pPr>
              <w:spacing w:after="0"/>
            </w:pPr>
            <w:r>
              <w:rPr>
                <w:rFonts w:ascii="宋体" w:hAnsi="宋体" w:eastAsia="宋体"/>
                <w:sz w:val="18"/>
              </w:rPr>
              <w:t>养护环境温度</w:t>
            </w:r>
          </w:p>
        </w:tc>
      </w:tr>
      <w:tr>
        <w:tc>
          <w:tcPr>
            <w:tcW w:type="dxa" w:w="1872"/>
            <w:vAlign w:val="center"/>
          </w:tcPr>
          <w:p>
            <w:pPr>
              <w:spacing w:after="0"/>
            </w:pPr>
            <w:r>
              <w:rPr>
                <w:rFonts w:ascii="宋体" w:hAnsi="宋体" w:eastAsia="宋体"/>
                <w:sz w:val="18"/>
              </w:rPr>
              <w:t>cementationDose</w:t>
            </w:r>
          </w:p>
        </w:tc>
        <w:tc>
          <w:tcPr>
            <w:tcW w:type="dxa" w:w="1872"/>
            <w:vAlign w:val="center"/>
          </w:tcPr>
          <w:p>
            <w:pPr>
              <w:spacing w:after="0"/>
            </w:pPr>
            <w:r>
              <w:rPr>
                <w:rFonts w:ascii="宋体" w:hAnsi="宋体" w:eastAsia="宋体"/>
                <w:sz w:val="18"/>
              </w:rPr>
              <w:t>胶结液浓度</w:t>
            </w:r>
          </w:p>
        </w:tc>
        <w:tc>
          <w:tcPr>
            <w:tcW w:type="dxa" w:w="1872"/>
            <w:vAlign w:val="center"/>
          </w:tcPr>
          <w:p>
            <w:pPr>
              <w:spacing w:after="0"/>
            </w:pPr>
            <w:r>
              <w:rPr>
                <w:rFonts w:ascii="宋体" w:hAnsi="宋体" w:eastAsia="宋体"/>
                <w:sz w:val="18"/>
              </w:rPr>
              <w:t>mol/L</w:t>
            </w:r>
          </w:p>
        </w:tc>
        <w:tc>
          <w:tcPr>
            <w:tcW w:type="dxa" w:w="1872"/>
            <w:vAlign w:val="center"/>
          </w:tcPr>
          <w:p>
            <w:pPr>
              <w:spacing w:after="0"/>
            </w:pPr>
            <w:r>
              <w:rPr>
                <w:rFonts w:ascii="宋体" w:hAnsi="宋体" w:eastAsia="宋体"/>
                <w:sz w:val="18"/>
              </w:rPr>
              <w:t>0.1 ~ 3.0</w:t>
            </w:r>
          </w:p>
        </w:tc>
        <w:tc>
          <w:tcPr>
            <w:tcW w:type="dxa" w:w="1872"/>
            <w:vAlign w:val="center"/>
          </w:tcPr>
          <w:p>
            <w:pPr>
              <w:spacing w:after="0"/>
            </w:pPr>
            <w:r>
              <w:rPr>
                <w:rFonts w:ascii="宋体" w:hAnsi="宋体" w:eastAsia="宋体"/>
                <w:sz w:val="18"/>
              </w:rPr>
              <w:t>尿素-氯化钙等摩尔胶结液浓度</w:t>
            </w:r>
          </w:p>
        </w:tc>
      </w:tr>
      <w:tr>
        <w:tc>
          <w:tcPr>
            <w:tcW w:type="dxa" w:w="1872"/>
            <w:vAlign w:val="center"/>
          </w:tcPr>
          <w:p>
            <w:pPr>
              <w:spacing w:after="0"/>
            </w:pPr>
            <w:r>
              <w:rPr>
                <w:rFonts w:ascii="宋体" w:hAnsi="宋体" w:eastAsia="宋体"/>
                <w:sz w:val="18"/>
              </w:rPr>
              <w:t>fixationVolume</w:t>
            </w:r>
          </w:p>
        </w:tc>
        <w:tc>
          <w:tcPr>
            <w:tcW w:type="dxa" w:w="1872"/>
            <w:vAlign w:val="center"/>
          </w:tcPr>
          <w:p>
            <w:pPr>
              <w:spacing w:after="0"/>
            </w:pPr>
            <w:r>
              <w:rPr>
                <w:rFonts w:ascii="宋体" w:hAnsi="宋体" w:eastAsia="宋体"/>
                <w:sz w:val="18"/>
              </w:rPr>
              <w:t>胶结液用量</w:t>
            </w:r>
          </w:p>
        </w:tc>
        <w:tc>
          <w:tcPr>
            <w:tcW w:type="dxa" w:w="1872"/>
            <w:vAlign w:val="center"/>
          </w:tcPr>
          <w:p>
            <w:pPr>
              <w:spacing w:after="0"/>
            </w:pPr>
            <w:r>
              <w:rPr>
                <w:rFonts w:ascii="宋体" w:hAnsi="宋体" w:eastAsia="宋体"/>
                <w:sz w:val="18"/>
              </w:rPr>
              <w:t>mL</w:t>
            </w:r>
          </w:p>
        </w:tc>
        <w:tc>
          <w:tcPr>
            <w:tcW w:type="dxa" w:w="1872"/>
            <w:vAlign w:val="center"/>
          </w:tcPr>
          <w:p>
            <w:pPr>
              <w:spacing w:after="0"/>
            </w:pPr>
            <w:r>
              <w:rPr>
                <w:rFonts w:ascii="宋体" w:hAnsi="宋体" w:eastAsia="宋体"/>
                <w:sz w:val="18"/>
              </w:rPr>
              <w:t>10 ~ 300</w:t>
            </w:r>
          </w:p>
        </w:tc>
        <w:tc>
          <w:tcPr>
            <w:tcW w:type="dxa" w:w="1872"/>
            <w:vAlign w:val="center"/>
          </w:tcPr>
          <w:p>
            <w:pPr>
              <w:spacing w:after="0"/>
            </w:pPr>
            <w:r>
              <w:rPr>
                <w:rFonts w:ascii="宋体" w:hAnsi="宋体" w:eastAsia="宋体"/>
                <w:sz w:val="18"/>
              </w:rPr>
              <w:t>单次灌注胶结液体积</w:t>
            </w:r>
          </w:p>
        </w:tc>
      </w:tr>
      <w:tr>
        <w:tc>
          <w:tcPr>
            <w:tcW w:type="dxa" w:w="1872"/>
            <w:vAlign w:val="center"/>
          </w:tcPr>
          <w:p>
            <w:pPr>
              <w:spacing w:after="0"/>
            </w:pPr>
            <w:r>
              <w:rPr>
                <w:rFonts w:ascii="宋体" w:hAnsi="宋体" w:eastAsia="宋体"/>
                <w:sz w:val="18"/>
              </w:rPr>
              <w:t>cycles</w:t>
            </w:r>
          </w:p>
        </w:tc>
        <w:tc>
          <w:tcPr>
            <w:tcW w:type="dxa" w:w="1872"/>
            <w:vAlign w:val="center"/>
          </w:tcPr>
          <w:p>
            <w:pPr>
              <w:spacing w:after="0"/>
            </w:pPr>
            <w:r>
              <w:rPr>
                <w:rFonts w:ascii="宋体" w:hAnsi="宋体" w:eastAsia="宋体"/>
                <w:sz w:val="18"/>
              </w:rPr>
              <w:t>固化次数</w:t>
            </w:r>
          </w:p>
        </w:tc>
        <w:tc>
          <w:tcPr>
            <w:tcW w:type="dxa" w:w="1872"/>
            <w:vAlign w:val="center"/>
          </w:tcPr>
          <w:p>
            <w:pPr>
              <w:spacing w:after="0"/>
            </w:pPr>
            <w:r>
              <w:rPr>
                <w:rFonts w:ascii="宋体" w:hAnsi="宋体" w:eastAsia="宋体"/>
                <w:sz w:val="18"/>
              </w:rPr>
              <w:t>次（整数）</w:t>
            </w:r>
          </w:p>
        </w:tc>
        <w:tc>
          <w:tcPr>
            <w:tcW w:type="dxa" w:w="1872"/>
            <w:vAlign w:val="center"/>
          </w:tcPr>
          <w:p>
            <w:pPr>
              <w:spacing w:after="0"/>
            </w:pPr>
            <w:r>
              <w:rPr>
                <w:rFonts w:ascii="宋体" w:hAnsi="宋体" w:eastAsia="宋体"/>
                <w:sz w:val="18"/>
              </w:rPr>
              <w:t>1 ~ 10</w:t>
            </w:r>
          </w:p>
        </w:tc>
        <w:tc>
          <w:tcPr>
            <w:tcW w:type="dxa" w:w="1872"/>
            <w:vAlign w:val="center"/>
          </w:tcPr>
          <w:p>
            <w:pPr>
              <w:spacing w:after="0"/>
            </w:pPr>
            <w:r>
              <w:rPr>
                <w:rFonts w:ascii="宋体" w:hAnsi="宋体" w:eastAsia="宋体"/>
                <w:sz w:val="18"/>
              </w:rPr>
              <w:t>菌液-胶结液交替灌注轮次</w:t>
            </w:r>
          </w:p>
        </w:tc>
      </w:tr>
    </w:tbl>
    <w:p>
      <w:pPr>
        <w:pStyle w:val="Heading3"/>
      </w:pPr>
      <w:r>
        <w:t>4.2 性能指标（输出，7 项）</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1872"/>
        <w:gridCol w:w="1872"/>
        <w:gridCol w:w="1872"/>
        <w:gridCol w:w="1872"/>
        <w:gridCol w:w="1872"/>
      </w:tblGrid>
      <w:tr>
        <w:tc>
          <w:tcPr>
            <w:tcW w:type="dxa" w:w="1872"/>
            <w:shd w:fill="F2F4F7"/>
            <w:vAlign w:val="center"/>
          </w:tcPr>
          <w:p>
            <w:pPr>
              <w:spacing w:after="0"/>
            </w:pPr>
            <w:r>
              <w:rPr>
                <w:rFonts w:ascii="宋体" w:hAnsi="宋体" w:eastAsia="宋体"/>
                <w:sz w:val="18"/>
              </w:rPr>
              <w:t>键名</w:t>
            </w:r>
          </w:p>
        </w:tc>
        <w:tc>
          <w:tcPr>
            <w:tcW w:type="dxa" w:w="1872"/>
            <w:shd w:fill="F2F4F7"/>
            <w:vAlign w:val="center"/>
          </w:tcPr>
          <w:p>
            <w:pPr>
              <w:spacing w:after="0"/>
            </w:pPr>
            <w:r>
              <w:rPr>
                <w:rFonts w:ascii="宋体" w:hAnsi="宋体" w:eastAsia="宋体"/>
                <w:sz w:val="18"/>
              </w:rPr>
              <w:t>名称</w:t>
            </w:r>
          </w:p>
        </w:tc>
        <w:tc>
          <w:tcPr>
            <w:tcW w:type="dxa" w:w="1872"/>
            <w:shd w:fill="F2F4F7"/>
            <w:vAlign w:val="center"/>
          </w:tcPr>
          <w:p>
            <w:pPr>
              <w:spacing w:after="0"/>
            </w:pPr>
            <w:r>
              <w:rPr>
                <w:rFonts w:ascii="宋体" w:hAnsi="宋体" w:eastAsia="宋体"/>
                <w:sz w:val="18"/>
              </w:rPr>
              <w:t>单位</w:t>
            </w:r>
          </w:p>
        </w:tc>
        <w:tc>
          <w:tcPr>
            <w:tcW w:type="dxa" w:w="1872"/>
            <w:shd w:fill="F2F4F7"/>
            <w:vAlign w:val="center"/>
          </w:tcPr>
          <w:p>
            <w:pPr>
              <w:spacing w:after="0"/>
            </w:pPr>
            <w:r>
              <w:rPr>
                <w:rFonts w:ascii="宋体" w:hAnsi="宋体" w:eastAsia="宋体"/>
                <w:sz w:val="18"/>
              </w:rPr>
              <w:t>优化方向</w:t>
            </w:r>
          </w:p>
        </w:tc>
        <w:tc>
          <w:tcPr>
            <w:tcW w:type="dxa" w:w="1872"/>
            <w:shd w:fill="F2F4F7"/>
            <w:vAlign w:val="center"/>
          </w:tcPr>
          <w:p>
            <w:pPr>
              <w:spacing w:after="0"/>
            </w:pPr>
            <w:r>
              <w:rPr>
                <w:rFonts w:ascii="宋体" w:hAnsi="宋体" w:eastAsia="宋体"/>
                <w:sz w:val="18"/>
              </w:rPr>
              <w:t>测试方法</w:t>
            </w:r>
          </w:p>
        </w:tc>
      </w:tr>
      <w:tr>
        <w:tc>
          <w:tcPr>
            <w:tcW w:type="dxa" w:w="1872"/>
            <w:vAlign w:val="center"/>
          </w:tcPr>
          <w:p>
            <w:pPr>
              <w:spacing w:after="0"/>
            </w:pPr>
            <w:r>
              <w:rPr>
                <w:rFonts w:ascii="宋体" w:hAnsi="宋体" w:eastAsia="宋体"/>
                <w:sz w:val="18"/>
              </w:rPr>
              <w:t>ucs</w:t>
            </w:r>
          </w:p>
        </w:tc>
        <w:tc>
          <w:tcPr>
            <w:tcW w:type="dxa" w:w="1872"/>
            <w:vAlign w:val="center"/>
          </w:tcPr>
          <w:p>
            <w:pPr>
              <w:spacing w:after="0"/>
            </w:pPr>
            <w:r>
              <w:rPr>
                <w:rFonts w:ascii="宋体" w:hAnsi="宋体" w:eastAsia="宋体"/>
                <w:sz w:val="18"/>
              </w:rPr>
              <w:t>无侧限抗压强度</w:t>
            </w:r>
          </w:p>
        </w:tc>
        <w:tc>
          <w:tcPr>
            <w:tcW w:type="dxa" w:w="1872"/>
            <w:vAlign w:val="center"/>
          </w:tcPr>
          <w:p>
            <w:pPr>
              <w:spacing w:after="0"/>
            </w:pPr>
            <w:r>
              <w:rPr>
                <w:rFonts w:ascii="宋体" w:hAnsi="宋体" w:eastAsia="宋体"/>
                <w:sz w:val="18"/>
              </w:rPr>
              <w:t>kPa</w:t>
            </w:r>
          </w:p>
        </w:tc>
        <w:tc>
          <w:tcPr>
            <w:tcW w:type="dxa" w:w="1872"/>
            <w:vAlign w:val="center"/>
          </w:tcPr>
          <w:p>
            <w:pPr>
              <w:spacing w:after="0"/>
            </w:pPr>
            <w:r>
              <w:rPr>
                <w:rFonts w:ascii="宋体" w:hAnsi="宋体" w:eastAsia="宋体"/>
                <w:sz w:val="18"/>
              </w:rPr>
              <w:t>越大越好</w:t>
            </w:r>
          </w:p>
        </w:tc>
        <w:tc>
          <w:tcPr>
            <w:tcW w:type="dxa" w:w="1872"/>
            <w:vAlign w:val="center"/>
          </w:tcPr>
          <w:p>
            <w:pPr>
              <w:spacing w:after="0"/>
            </w:pPr>
            <w:r>
              <w:rPr>
                <w:rFonts w:ascii="宋体" w:hAnsi="宋体" w:eastAsia="宋体"/>
                <w:sz w:val="18"/>
              </w:rPr>
              <w:t>单轴压缩</w:t>
            </w:r>
          </w:p>
        </w:tc>
      </w:tr>
      <w:tr>
        <w:tc>
          <w:tcPr>
            <w:tcW w:type="dxa" w:w="1872"/>
            <w:vAlign w:val="center"/>
          </w:tcPr>
          <w:p>
            <w:pPr>
              <w:spacing w:after="0"/>
            </w:pPr>
            <w:r>
              <w:rPr>
                <w:rFonts w:ascii="宋体" w:hAnsi="宋体" w:eastAsia="宋体"/>
                <w:sz w:val="18"/>
              </w:rPr>
              <w:t>postDryDensity</w:t>
            </w:r>
          </w:p>
        </w:tc>
        <w:tc>
          <w:tcPr>
            <w:tcW w:type="dxa" w:w="1872"/>
            <w:vAlign w:val="center"/>
          </w:tcPr>
          <w:p>
            <w:pPr>
              <w:spacing w:after="0"/>
            </w:pPr>
            <w:r>
              <w:rPr>
                <w:rFonts w:ascii="宋体" w:hAnsi="宋体" w:eastAsia="宋体"/>
                <w:sz w:val="18"/>
              </w:rPr>
              <w:t>固化后干密度</w:t>
            </w:r>
          </w:p>
        </w:tc>
        <w:tc>
          <w:tcPr>
            <w:tcW w:type="dxa" w:w="1872"/>
            <w:vAlign w:val="center"/>
          </w:tcPr>
          <w:p>
            <w:pPr>
              <w:spacing w:after="0"/>
            </w:pPr>
            <w:r>
              <w:rPr>
                <w:rFonts w:ascii="宋体" w:hAnsi="宋体" w:eastAsia="宋体"/>
                <w:sz w:val="18"/>
              </w:rPr>
              <w:t>g/cm³</w:t>
            </w:r>
          </w:p>
        </w:tc>
        <w:tc>
          <w:tcPr>
            <w:tcW w:type="dxa" w:w="1872"/>
            <w:vAlign w:val="center"/>
          </w:tcPr>
          <w:p>
            <w:pPr>
              <w:spacing w:after="0"/>
            </w:pPr>
            <w:r>
              <w:rPr>
                <w:rFonts w:ascii="宋体" w:hAnsi="宋体" w:eastAsia="宋体"/>
                <w:sz w:val="18"/>
              </w:rPr>
              <w:t>越大越好</w:t>
            </w:r>
          </w:p>
        </w:tc>
        <w:tc>
          <w:tcPr>
            <w:tcW w:type="dxa" w:w="1872"/>
            <w:vAlign w:val="center"/>
          </w:tcPr>
          <w:p>
            <w:pPr>
              <w:spacing w:after="0"/>
            </w:pPr>
            <w:r>
              <w:rPr>
                <w:rFonts w:ascii="宋体" w:hAnsi="宋体" w:eastAsia="宋体"/>
                <w:sz w:val="18"/>
              </w:rPr>
              <w:t>烘干称重</w:t>
            </w:r>
          </w:p>
        </w:tc>
      </w:tr>
      <w:tr>
        <w:tc>
          <w:tcPr>
            <w:tcW w:type="dxa" w:w="1872"/>
            <w:vAlign w:val="center"/>
          </w:tcPr>
          <w:p>
            <w:pPr>
              <w:spacing w:after="0"/>
            </w:pPr>
            <w:r>
              <w:rPr>
                <w:rFonts w:ascii="宋体" w:hAnsi="宋体" w:eastAsia="宋体"/>
                <w:sz w:val="18"/>
              </w:rPr>
              <w:t>disintegrationRate</w:t>
            </w:r>
          </w:p>
        </w:tc>
        <w:tc>
          <w:tcPr>
            <w:tcW w:type="dxa" w:w="1872"/>
            <w:vAlign w:val="center"/>
          </w:tcPr>
          <w:p>
            <w:pPr>
              <w:spacing w:after="0"/>
            </w:pPr>
            <w:r>
              <w:rPr>
                <w:rFonts w:ascii="宋体" w:hAnsi="宋体" w:eastAsia="宋体"/>
                <w:sz w:val="18"/>
              </w:rPr>
              <w:t>浸水崩解率</w:t>
            </w:r>
          </w:p>
        </w:tc>
        <w:tc>
          <w:tcPr>
            <w:tcW w:type="dxa" w:w="1872"/>
            <w:vAlign w:val="center"/>
          </w:tcPr>
          <w:p>
            <w:pPr>
              <w:spacing w:after="0"/>
            </w:pPr>
            <w:r>
              <w:rPr>
                <w:rFonts w:ascii="宋体" w:hAnsi="宋体" w:eastAsia="宋体"/>
                <w:sz w:val="18"/>
              </w:rPr>
              <w:t>%</w:t>
            </w:r>
          </w:p>
        </w:tc>
        <w:tc>
          <w:tcPr>
            <w:tcW w:type="dxa" w:w="1872"/>
            <w:vAlign w:val="center"/>
          </w:tcPr>
          <w:p>
            <w:pPr>
              <w:spacing w:after="0"/>
            </w:pPr>
            <w:r>
              <w:rPr>
                <w:rFonts w:ascii="宋体" w:hAnsi="宋体" w:eastAsia="宋体"/>
                <w:sz w:val="18"/>
              </w:rPr>
              <w:t>越小越好</w:t>
            </w:r>
          </w:p>
        </w:tc>
        <w:tc>
          <w:tcPr>
            <w:tcW w:type="dxa" w:w="1872"/>
            <w:vAlign w:val="center"/>
          </w:tcPr>
          <w:p>
            <w:pPr>
              <w:spacing w:after="0"/>
            </w:pPr>
            <w:r>
              <w:rPr>
                <w:rFonts w:ascii="宋体" w:hAnsi="宋体" w:eastAsia="宋体"/>
                <w:sz w:val="18"/>
              </w:rPr>
              <w:t>浸水 24 h 质量损失</w:t>
            </w:r>
          </w:p>
        </w:tc>
      </w:tr>
      <w:tr>
        <w:tc>
          <w:tcPr>
            <w:tcW w:type="dxa" w:w="1872"/>
            <w:vAlign w:val="center"/>
          </w:tcPr>
          <w:p>
            <w:pPr>
              <w:spacing w:after="0"/>
            </w:pPr>
            <w:r>
              <w:rPr>
                <w:rFonts w:ascii="宋体" w:hAnsi="宋体" w:eastAsia="宋体"/>
                <w:sz w:val="18"/>
              </w:rPr>
              <w:t>permeability</w:t>
            </w:r>
          </w:p>
        </w:tc>
        <w:tc>
          <w:tcPr>
            <w:tcW w:type="dxa" w:w="1872"/>
            <w:vAlign w:val="center"/>
          </w:tcPr>
          <w:p>
            <w:pPr>
              <w:spacing w:after="0"/>
            </w:pPr>
            <w:r>
              <w:rPr>
                <w:rFonts w:ascii="宋体" w:hAnsi="宋体" w:eastAsia="宋体"/>
                <w:sz w:val="18"/>
              </w:rPr>
              <w:t>渗透系数</w:t>
            </w:r>
          </w:p>
        </w:tc>
        <w:tc>
          <w:tcPr>
            <w:tcW w:type="dxa" w:w="1872"/>
            <w:vAlign w:val="center"/>
          </w:tcPr>
          <w:p>
            <w:pPr>
              <w:spacing w:after="0"/>
            </w:pPr>
            <w:r>
              <w:rPr>
                <w:rFonts w:ascii="宋体" w:hAnsi="宋体" w:eastAsia="宋体"/>
                <w:sz w:val="18"/>
              </w:rPr>
              <w:t>×10⁻⁴ cm/s</w:t>
            </w:r>
          </w:p>
        </w:tc>
        <w:tc>
          <w:tcPr>
            <w:tcW w:type="dxa" w:w="1872"/>
            <w:vAlign w:val="center"/>
          </w:tcPr>
          <w:p>
            <w:pPr>
              <w:spacing w:after="0"/>
            </w:pPr>
            <w:r>
              <w:rPr>
                <w:rFonts w:ascii="宋体" w:hAnsi="宋体" w:eastAsia="宋体"/>
                <w:sz w:val="18"/>
              </w:rPr>
              <w:t>越小越好</w:t>
            </w:r>
          </w:p>
        </w:tc>
        <w:tc>
          <w:tcPr>
            <w:tcW w:type="dxa" w:w="1872"/>
            <w:vAlign w:val="center"/>
          </w:tcPr>
          <w:p>
            <w:pPr>
              <w:spacing w:after="0"/>
            </w:pPr>
            <w:r>
              <w:rPr>
                <w:rFonts w:ascii="宋体" w:hAnsi="宋体" w:eastAsia="宋体"/>
                <w:sz w:val="18"/>
              </w:rPr>
              <w:t>常水头渗透</w:t>
            </w:r>
          </w:p>
        </w:tc>
      </w:tr>
      <w:tr>
        <w:tc>
          <w:tcPr>
            <w:tcW w:type="dxa" w:w="1872"/>
            <w:vAlign w:val="center"/>
          </w:tcPr>
          <w:p>
            <w:pPr>
              <w:spacing w:after="0"/>
            </w:pPr>
            <w:r>
              <w:rPr>
                <w:rFonts w:ascii="宋体" w:hAnsi="宋体" w:eastAsia="宋体"/>
                <w:sz w:val="18"/>
              </w:rPr>
              <w:t>frictionAngle</w:t>
            </w:r>
          </w:p>
        </w:tc>
        <w:tc>
          <w:tcPr>
            <w:tcW w:type="dxa" w:w="1872"/>
            <w:vAlign w:val="center"/>
          </w:tcPr>
          <w:p>
            <w:pPr>
              <w:spacing w:after="0"/>
            </w:pPr>
            <w:r>
              <w:rPr>
                <w:rFonts w:ascii="宋体" w:hAnsi="宋体" w:eastAsia="宋体"/>
                <w:sz w:val="18"/>
              </w:rPr>
              <w:t>内摩擦角</w:t>
            </w:r>
          </w:p>
        </w:tc>
        <w:tc>
          <w:tcPr>
            <w:tcW w:type="dxa" w:w="1872"/>
            <w:vAlign w:val="center"/>
          </w:tcPr>
          <w:p>
            <w:pPr>
              <w:spacing w:after="0"/>
            </w:pPr>
            <w:r>
              <w:rPr>
                <w:rFonts w:ascii="宋体" w:hAnsi="宋体" w:eastAsia="宋体"/>
                <w:sz w:val="18"/>
              </w:rPr>
              <w:t>°</w:t>
            </w:r>
          </w:p>
        </w:tc>
        <w:tc>
          <w:tcPr>
            <w:tcW w:type="dxa" w:w="1872"/>
            <w:vAlign w:val="center"/>
          </w:tcPr>
          <w:p>
            <w:pPr>
              <w:spacing w:after="0"/>
            </w:pPr>
            <w:r>
              <w:rPr>
                <w:rFonts w:ascii="宋体" w:hAnsi="宋体" w:eastAsia="宋体"/>
                <w:sz w:val="18"/>
              </w:rPr>
              <w:t>越大越好</w:t>
            </w:r>
          </w:p>
        </w:tc>
        <w:tc>
          <w:tcPr>
            <w:tcW w:type="dxa" w:w="1872"/>
            <w:vAlign w:val="center"/>
          </w:tcPr>
          <w:p>
            <w:pPr>
              <w:spacing w:after="0"/>
            </w:pPr>
            <w:r>
              <w:rPr>
                <w:rFonts w:ascii="宋体" w:hAnsi="宋体" w:eastAsia="宋体"/>
                <w:sz w:val="18"/>
              </w:rPr>
              <w:t>直剪</w:t>
            </w:r>
          </w:p>
        </w:tc>
      </w:tr>
      <w:tr>
        <w:tc>
          <w:tcPr>
            <w:tcW w:type="dxa" w:w="1872"/>
            <w:vAlign w:val="center"/>
          </w:tcPr>
          <w:p>
            <w:pPr>
              <w:spacing w:after="0"/>
            </w:pPr>
            <w:r>
              <w:rPr>
                <w:rFonts w:ascii="宋体" w:hAnsi="宋体" w:eastAsia="宋体"/>
                <w:sz w:val="18"/>
              </w:rPr>
              <w:t>cohesion</w:t>
            </w:r>
          </w:p>
        </w:tc>
        <w:tc>
          <w:tcPr>
            <w:tcW w:type="dxa" w:w="1872"/>
            <w:vAlign w:val="center"/>
          </w:tcPr>
          <w:p>
            <w:pPr>
              <w:spacing w:after="0"/>
            </w:pPr>
            <w:r>
              <w:rPr>
                <w:rFonts w:ascii="宋体" w:hAnsi="宋体" w:eastAsia="宋体"/>
                <w:sz w:val="18"/>
              </w:rPr>
              <w:t>黏聚力</w:t>
            </w:r>
          </w:p>
        </w:tc>
        <w:tc>
          <w:tcPr>
            <w:tcW w:type="dxa" w:w="1872"/>
            <w:vAlign w:val="center"/>
          </w:tcPr>
          <w:p>
            <w:pPr>
              <w:spacing w:after="0"/>
            </w:pPr>
            <w:r>
              <w:rPr>
                <w:rFonts w:ascii="宋体" w:hAnsi="宋体" w:eastAsia="宋体"/>
                <w:sz w:val="18"/>
              </w:rPr>
              <w:t>kPa</w:t>
            </w:r>
          </w:p>
        </w:tc>
        <w:tc>
          <w:tcPr>
            <w:tcW w:type="dxa" w:w="1872"/>
            <w:vAlign w:val="center"/>
          </w:tcPr>
          <w:p>
            <w:pPr>
              <w:spacing w:after="0"/>
            </w:pPr>
            <w:r>
              <w:rPr>
                <w:rFonts w:ascii="宋体" w:hAnsi="宋体" w:eastAsia="宋体"/>
                <w:sz w:val="18"/>
              </w:rPr>
              <w:t>越大越好</w:t>
            </w:r>
          </w:p>
        </w:tc>
        <w:tc>
          <w:tcPr>
            <w:tcW w:type="dxa" w:w="1872"/>
            <w:vAlign w:val="center"/>
          </w:tcPr>
          <w:p>
            <w:pPr>
              <w:spacing w:after="0"/>
            </w:pPr>
            <w:r>
              <w:rPr>
                <w:rFonts w:ascii="宋体" w:hAnsi="宋体" w:eastAsia="宋体"/>
                <w:sz w:val="18"/>
              </w:rPr>
              <w:t>直剪</w:t>
            </w:r>
          </w:p>
        </w:tc>
      </w:tr>
      <w:tr>
        <w:tc>
          <w:tcPr>
            <w:tcW w:type="dxa" w:w="1872"/>
            <w:vAlign w:val="center"/>
          </w:tcPr>
          <w:p>
            <w:pPr>
              <w:spacing w:after="0"/>
            </w:pPr>
            <w:r>
              <w:rPr>
                <w:rFonts w:ascii="宋体" w:hAnsi="宋体" w:eastAsia="宋体"/>
                <w:sz w:val="18"/>
              </w:rPr>
              <w:t>caco3</w:t>
            </w:r>
          </w:p>
        </w:tc>
        <w:tc>
          <w:tcPr>
            <w:tcW w:type="dxa" w:w="1872"/>
            <w:vAlign w:val="center"/>
          </w:tcPr>
          <w:p>
            <w:pPr>
              <w:spacing w:after="0"/>
            </w:pPr>
            <w:r>
              <w:rPr>
                <w:rFonts w:ascii="宋体" w:hAnsi="宋体" w:eastAsia="宋体"/>
                <w:sz w:val="18"/>
              </w:rPr>
              <w:t>碳酸钙含量</w:t>
            </w:r>
          </w:p>
        </w:tc>
        <w:tc>
          <w:tcPr>
            <w:tcW w:type="dxa" w:w="1872"/>
            <w:vAlign w:val="center"/>
          </w:tcPr>
          <w:p>
            <w:pPr>
              <w:spacing w:after="0"/>
            </w:pPr>
            <w:r>
              <w:rPr>
                <w:rFonts w:ascii="宋体" w:hAnsi="宋体" w:eastAsia="宋体"/>
                <w:sz w:val="18"/>
              </w:rPr>
              <w:t>%</w:t>
            </w:r>
          </w:p>
        </w:tc>
        <w:tc>
          <w:tcPr>
            <w:tcW w:type="dxa" w:w="1872"/>
            <w:vAlign w:val="center"/>
          </w:tcPr>
          <w:p>
            <w:pPr>
              <w:spacing w:after="0"/>
            </w:pPr>
            <w:r>
              <w:rPr>
                <w:rFonts w:ascii="宋体" w:hAnsi="宋体" w:eastAsia="宋体"/>
                <w:sz w:val="18"/>
              </w:rPr>
              <w:t>越大越好</w:t>
            </w:r>
          </w:p>
        </w:tc>
        <w:tc>
          <w:tcPr>
            <w:tcW w:type="dxa" w:w="1872"/>
            <w:vAlign w:val="center"/>
          </w:tcPr>
          <w:p>
            <w:pPr>
              <w:spacing w:after="0"/>
            </w:pPr>
            <w:r>
              <w:rPr>
                <w:rFonts w:ascii="宋体" w:hAnsi="宋体" w:eastAsia="宋体"/>
                <w:sz w:val="18"/>
              </w:rPr>
              <w:t>酸洗法</w:t>
            </w:r>
          </w:p>
        </w:tc>
      </w:tr>
    </w:tbl>
    <w:p>
      <w:pPr>
        <w:pStyle w:val="Heading3"/>
      </w:pPr>
      <w:r>
        <w:t>4.3 机理特征（中间量，8 项）</w:t>
      </w:r>
    </w:p>
    <w:p>
      <w:r>
        <w:t>effectiveBacteria 有效菌量指数 (mL·OD)、temperatureFactor 脲酶温度活性因子、calciumSupply 累计钙源供给量 (mol)、conversionEfficiency 钙源转化效率、fiberBridging 纤维桥接因子、initialPorosity 初始孔隙率、poreFillingRatio 孔隙填充率、liquidUtilization 灌注液利用率。</w:t>
      </w:r>
    </w:p>
    <w:p>
      <w:pPr>
        <w:pStyle w:val="Heading2"/>
      </w:pPr>
      <w:r>
        <w:t>5. 数据库设计</w:t>
      </w:r>
    </w:p>
    <w:p>
      <w:pPr>
        <w:jc w:val="center"/>
      </w:pPr>
      <w:r>
        <w:drawing>
          <wp:inline xmlns:a="http://schemas.openxmlformats.org/drawingml/2006/main" xmlns:pic="http://schemas.openxmlformats.org/drawingml/2006/picture">
            <wp:extent cx="5688000" cy="2779047"/>
            <wp:docPr id="2" name="Picture 2"/>
            <wp:cNvGraphicFramePr>
              <a:graphicFrameLocks noChangeAspect="1"/>
            </wp:cNvGraphicFramePr>
            <a:graphic>
              <a:graphicData uri="http://schemas.openxmlformats.org/drawingml/2006/picture">
                <pic:pic>
                  <pic:nvPicPr>
                    <pic:cNvPr id="0" name="设计说明书-02.png"/>
                    <pic:cNvPicPr/>
                  </pic:nvPicPr>
                  <pic:blipFill>
                    <a:blip r:embed="rId12"/>
                    <a:stretch>
                      <a:fillRect/>
                    </a:stretch>
                  </pic:blipFill>
                  <pic:spPr>
                    <a:xfrm>
                      <a:off x="0" y="0"/>
                      <a:ext cx="5688000" cy="2779047"/>
                    </a:xfrm>
                    <a:prstGeom prst="rect"/>
                  </pic:spPr>
                </pic:pic>
              </a:graphicData>
            </a:graphic>
          </wp:inline>
        </w:drawing>
      </w:r>
    </w:p>
    <w:p>
      <w:r>
        <w:t>约束：schemes(project_id, scheme_name)、dataset(project_id, sample_id)、model_store(project_id, model_name) 唯一；model_history 建有 (project_id, model_name, version) 索引。密码使用 Werkzeug generate_password_hash（scrypt）存储；会话 token 为 48 位随机字符串。首次启动自动创建默认项目并写入 4 个示范方案与 48 条示范样本。</w:t>
      </w:r>
    </w:p>
    <w:p>
      <w:pPr>
        <w:pStyle w:val="Heading2"/>
      </w:pPr>
      <w:r>
        <w:t>6. 模块与函数清单</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3120"/>
        <w:gridCol w:w="3120"/>
        <w:gridCol w:w="3120"/>
      </w:tblGrid>
      <w:tr>
        <w:tc>
          <w:tcPr>
            <w:tcW w:type="dxa" w:w="3120"/>
            <w:shd w:fill="F2F4F7"/>
            <w:vAlign w:val="center"/>
          </w:tcPr>
          <w:p>
            <w:pPr>
              <w:spacing w:after="0"/>
            </w:pPr>
            <w:r>
              <w:rPr>
                <w:rFonts w:ascii="宋体" w:hAnsi="宋体" w:eastAsia="宋体"/>
                <w:sz w:val="18"/>
              </w:rPr>
              <w:t>模块</w:t>
            </w:r>
          </w:p>
        </w:tc>
        <w:tc>
          <w:tcPr>
            <w:tcW w:type="dxa" w:w="3120"/>
            <w:shd w:fill="F2F4F7"/>
            <w:vAlign w:val="center"/>
          </w:tcPr>
          <w:p>
            <w:pPr>
              <w:spacing w:after="0"/>
            </w:pPr>
            <w:r>
              <w:rPr>
                <w:rFonts w:ascii="宋体" w:hAnsi="宋体" w:eastAsia="宋体"/>
                <w:sz w:val="18"/>
              </w:rPr>
              <w:t>主要函数 / 类</w:t>
            </w:r>
          </w:p>
        </w:tc>
        <w:tc>
          <w:tcPr>
            <w:tcW w:type="dxa" w:w="3120"/>
            <w:shd w:fill="F2F4F7"/>
            <w:vAlign w:val="center"/>
          </w:tcPr>
          <w:p>
            <w:pPr>
              <w:spacing w:after="0"/>
            </w:pPr>
            <w:r>
              <w:rPr>
                <w:rFonts w:ascii="宋体" w:hAnsi="宋体" w:eastAsia="宋体"/>
                <w:sz w:val="18"/>
              </w:rPr>
              <w:t>说明</w:t>
            </w:r>
          </w:p>
        </w:tc>
      </w:tr>
      <w:tr>
        <w:tc>
          <w:tcPr>
            <w:tcW w:type="dxa" w:w="3120"/>
            <w:vAlign w:val="center"/>
          </w:tcPr>
          <w:p>
            <w:pPr>
              <w:spacing w:after="0"/>
            </w:pPr>
            <w:r>
              <w:rPr>
                <w:rFonts w:ascii="宋体" w:hAnsi="宋体" w:eastAsia="宋体"/>
                <w:sz w:val="18"/>
              </w:rPr>
              <w:t>micp/schemas.py</w:t>
            </w:r>
          </w:p>
        </w:tc>
        <w:tc>
          <w:tcPr>
            <w:tcW w:type="dxa" w:w="3120"/>
            <w:vAlign w:val="center"/>
          </w:tcPr>
          <w:p>
            <w:pPr>
              <w:spacing w:after="0"/>
            </w:pPr>
            <w:r>
              <w:rPr>
                <w:rFonts w:ascii="宋体" w:hAnsi="宋体" w:eastAsia="宋体"/>
                <w:sz w:val="18"/>
              </w:rPr>
              <w:t>ParamSpec、MetricSpec、PARAM_SPECS、METRIC_SPECS、FEATURE_SPECS、canonical_key()、describe_dictionary()</w:t>
            </w:r>
          </w:p>
        </w:tc>
        <w:tc>
          <w:tcPr>
            <w:tcW w:type="dxa" w:w="3120"/>
            <w:vAlign w:val="center"/>
          </w:tcPr>
          <w:p>
            <w:pPr>
              <w:spacing w:after="0"/>
            </w:pPr>
            <w:r>
              <w:rPr>
                <w:rFonts w:ascii="宋体" w:hAnsi="宋体" w:eastAsia="宋体"/>
                <w:sz w:val="18"/>
              </w:rPr>
              <w:t>数据字典与表头别名映射</w:t>
            </w:r>
          </w:p>
        </w:tc>
      </w:tr>
      <w:tr>
        <w:tc>
          <w:tcPr>
            <w:tcW w:type="dxa" w:w="3120"/>
            <w:vAlign w:val="center"/>
          </w:tcPr>
          <w:p>
            <w:pPr>
              <w:spacing w:after="0"/>
            </w:pPr>
            <w:r>
              <w:rPr>
                <w:rFonts w:ascii="宋体" w:hAnsi="宋体" w:eastAsia="宋体"/>
                <w:sz w:val="18"/>
              </w:rPr>
              <w:t>micp/mechanism.py</w:t>
            </w:r>
          </w:p>
        </w:tc>
        <w:tc>
          <w:tcPr>
            <w:tcW w:type="dxa" w:w="3120"/>
            <w:vAlign w:val="center"/>
          </w:tcPr>
          <w:p>
            <w:pPr>
              <w:spacing w:after="0"/>
            </w:pPr>
            <w:r>
              <w:rPr>
                <w:rFonts w:ascii="宋体" w:hAnsi="宋体" w:eastAsia="宋体"/>
                <w:sz w:val="18"/>
              </w:rPr>
              <w:t>MechanismConstants、mechanism_features_matrix()、mechanism_baseline_matrix()、mechanism_features()、mechanism_baseline()、explain_mechanism()、design_space_bounds()、clip_to_ranges()</w:t>
            </w:r>
          </w:p>
        </w:tc>
        <w:tc>
          <w:tcPr>
            <w:tcW w:type="dxa" w:w="3120"/>
            <w:vAlign w:val="center"/>
          </w:tcPr>
          <w:p>
            <w:pPr>
              <w:spacing w:after="0"/>
            </w:pPr>
            <w:r>
              <w:rPr>
                <w:rFonts w:ascii="宋体" w:hAnsi="宋体" w:eastAsia="宋体"/>
                <w:sz w:val="18"/>
              </w:rPr>
              <w:t>机理特征与基线</w:t>
            </w:r>
          </w:p>
        </w:tc>
      </w:tr>
      <w:tr>
        <w:tc>
          <w:tcPr>
            <w:tcW w:type="dxa" w:w="3120"/>
            <w:vAlign w:val="center"/>
          </w:tcPr>
          <w:p>
            <w:pPr>
              <w:spacing w:after="0"/>
            </w:pPr>
            <w:r>
              <w:rPr>
                <w:rFonts w:ascii="宋体" w:hAnsi="宋体" w:eastAsia="宋体"/>
                <w:sz w:val="18"/>
              </w:rPr>
              <w:t>micp/models.py</w:t>
            </w:r>
          </w:p>
        </w:tc>
        <w:tc>
          <w:tcPr>
            <w:tcW w:type="dxa" w:w="3120"/>
            <w:vAlign w:val="center"/>
          </w:tcPr>
          <w:p>
            <w:pPr>
              <w:spacing w:after="0"/>
            </w:pPr>
            <w:r>
              <w:rPr>
                <w:rFonts w:ascii="宋体" w:hAnsi="宋体" w:eastAsia="宋体"/>
                <w:sz w:val="18"/>
              </w:rPr>
              <w:t>build_learner()、design_matrix()、HybridModel.fit/predict_matrix/decompose/to_payload/from_payload、resolve_model()、make_batch_predictor()</w:t>
            </w:r>
          </w:p>
        </w:tc>
        <w:tc>
          <w:tcPr>
            <w:tcW w:type="dxa" w:w="3120"/>
            <w:vAlign w:val="center"/>
          </w:tcPr>
          <w:p>
            <w:pPr>
              <w:spacing w:after="0"/>
            </w:pPr>
            <w:r>
              <w:rPr>
                <w:rFonts w:ascii="宋体" w:hAnsi="宋体" w:eastAsia="宋体"/>
                <w:sz w:val="18"/>
              </w:rPr>
              <w:t>混合模型</w:t>
            </w:r>
          </w:p>
        </w:tc>
      </w:tr>
      <w:tr>
        <w:tc>
          <w:tcPr>
            <w:tcW w:type="dxa" w:w="3120"/>
            <w:vAlign w:val="center"/>
          </w:tcPr>
          <w:p>
            <w:pPr>
              <w:spacing w:after="0"/>
            </w:pPr>
            <w:r>
              <w:rPr>
                <w:rFonts w:ascii="宋体" w:hAnsi="宋体" w:eastAsia="宋体"/>
                <w:sz w:val="18"/>
              </w:rPr>
              <w:t>micp/evaluation.py</w:t>
            </w:r>
          </w:p>
        </w:tc>
        <w:tc>
          <w:tcPr>
            <w:tcW w:type="dxa" w:w="3120"/>
            <w:vAlign w:val="center"/>
          </w:tcPr>
          <w:p>
            <w:pPr>
              <w:spacing w:after="0"/>
            </w:pPr>
            <w:r>
              <w:rPr>
                <w:rFonts w:ascii="宋体" w:hAnsi="宋体" w:eastAsia="宋体"/>
                <w:sz w:val="18"/>
              </w:rPr>
              <w:t>choose_folds()、metric_table()、cross_validate()、evaluate_all()</w:t>
            </w:r>
          </w:p>
        </w:tc>
        <w:tc>
          <w:tcPr>
            <w:tcW w:type="dxa" w:w="3120"/>
            <w:vAlign w:val="center"/>
          </w:tcPr>
          <w:p>
            <w:pPr>
              <w:spacing w:after="0"/>
            </w:pPr>
            <w:r>
              <w:rPr>
                <w:rFonts w:ascii="宋体" w:hAnsi="宋体" w:eastAsia="宋体"/>
                <w:sz w:val="18"/>
              </w:rPr>
              <w:t>交叉验证</w:t>
            </w:r>
          </w:p>
        </w:tc>
      </w:tr>
      <w:tr>
        <w:tc>
          <w:tcPr>
            <w:tcW w:type="dxa" w:w="3120"/>
            <w:vAlign w:val="center"/>
          </w:tcPr>
          <w:p>
            <w:pPr>
              <w:spacing w:after="0"/>
            </w:pPr>
            <w:r>
              <w:rPr>
                <w:rFonts w:ascii="宋体" w:hAnsi="宋体" w:eastAsia="宋体"/>
                <w:sz w:val="18"/>
              </w:rPr>
              <w:t>micp/sensitivity.py</w:t>
            </w:r>
          </w:p>
        </w:tc>
        <w:tc>
          <w:tcPr>
            <w:tcW w:type="dxa" w:w="3120"/>
            <w:vAlign w:val="center"/>
          </w:tcPr>
          <w:p>
            <w:pPr>
              <w:spacing w:after="0"/>
            </w:pPr>
            <w:r>
              <w:rPr>
                <w:rFonts w:ascii="宋体" w:hAnsi="宋体" w:eastAsia="宋体"/>
                <w:sz w:val="18"/>
              </w:rPr>
              <w:t>oat_elasticity()、morris_effects()、partial_dependence()、full_partial_dependence()</w:t>
            </w:r>
          </w:p>
        </w:tc>
        <w:tc>
          <w:tcPr>
            <w:tcW w:type="dxa" w:w="3120"/>
            <w:vAlign w:val="center"/>
          </w:tcPr>
          <w:p>
            <w:pPr>
              <w:spacing w:after="0"/>
            </w:pPr>
            <w:r>
              <w:rPr>
                <w:rFonts w:ascii="宋体" w:hAnsi="宋体" w:eastAsia="宋体"/>
                <w:sz w:val="18"/>
              </w:rPr>
              <w:t>敏感性</w:t>
            </w:r>
          </w:p>
        </w:tc>
      </w:tr>
      <w:tr>
        <w:tc>
          <w:tcPr>
            <w:tcW w:type="dxa" w:w="3120"/>
            <w:vAlign w:val="center"/>
          </w:tcPr>
          <w:p>
            <w:pPr>
              <w:spacing w:after="0"/>
            </w:pPr>
            <w:r>
              <w:rPr>
                <w:rFonts w:ascii="宋体" w:hAnsi="宋体" w:eastAsia="宋体"/>
                <w:sz w:val="18"/>
              </w:rPr>
              <w:t>micp/optimizer.py</w:t>
            </w:r>
          </w:p>
        </w:tc>
        <w:tc>
          <w:tcPr>
            <w:tcW w:type="dxa" w:w="3120"/>
            <w:vAlign w:val="center"/>
          </w:tcPr>
          <w:p>
            <w:pPr>
              <w:spacing w:after="0"/>
            </w:pPr>
            <w:r>
              <w:rPr>
                <w:rFonts w:ascii="宋体" w:hAnsi="宋体" w:eastAsia="宋体"/>
                <w:sz w:val="18"/>
              </w:rPr>
              <w:t>cost_index()、latin_hypercube()、pareto_front()、dataset_envelope()、optimize()、rank_schemes()</w:t>
            </w:r>
          </w:p>
        </w:tc>
        <w:tc>
          <w:tcPr>
            <w:tcW w:type="dxa" w:w="3120"/>
            <w:vAlign w:val="center"/>
          </w:tcPr>
          <w:p>
            <w:pPr>
              <w:spacing w:after="0"/>
            </w:pPr>
            <w:r>
              <w:rPr>
                <w:rFonts w:ascii="宋体" w:hAnsi="宋体" w:eastAsia="宋体"/>
                <w:sz w:val="18"/>
              </w:rPr>
              <w:t>配比优化</w:t>
            </w:r>
          </w:p>
        </w:tc>
      </w:tr>
      <w:tr>
        <w:tc>
          <w:tcPr>
            <w:tcW w:type="dxa" w:w="3120"/>
            <w:vAlign w:val="center"/>
          </w:tcPr>
          <w:p>
            <w:pPr>
              <w:spacing w:after="0"/>
            </w:pPr>
            <w:r>
              <w:rPr>
                <w:rFonts w:ascii="宋体" w:hAnsi="宋体" w:eastAsia="宋体"/>
                <w:sz w:val="18"/>
              </w:rPr>
              <w:t>micp/statistics.py</w:t>
            </w:r>
          </w:p>
        </w:tc>
        <w:tc>
          <w:tcPr>
            <w:tcW w:type="dxa" w:w="3120"/>
            <w:vAlign w:val="center"/>
          </w:tcPr>
          <w:p>
            <w:pPr>
              <w:spacing w:after="0"/>
            </w:pPr>
            <w:r>
              <w:rPr>
                <w:rFonts w:ascii="宋体" w:hAnsi="宋体" w:eastAsia="宋体"/>
                <w:sz w:val="18"/>
              </w:rPr>
              <w:t>iqr_bounds()、grubbs_outliers()、detect_outliers()、describe()、one_way_anova()、correlation_matrix()、fit_relationship()、analyze_dataset()</w:t>
            </w:r>
          </w:p>
        </w:tc>
        <w:tc>
          <w:tcPr>
            <w:tcW w:type="dxa" w:w="3120"/>
            <w:vAlign w:val="center"/>
          </w:tcPr>
          <w:p>
            <w:pPr>
              <w:spacing w:after="0"/>
            </w:pPr>
            <w:r>
              <w:rPr>
                <w:rFonts w:ascii="宋体" w:hAnsi="宋体" w:eastAsia="宋体"/>
                <w:sz w:val="18"/>
              </w:rPr>
              <w:t>统计分析</w:t>
            </w:r>
          </w:p>
        </w:tc>
      </w:tr>
      <w:tr>
        <w:tc>
          <w:tcPr>
            <w:tcW w:type="dxa" w:w="3120"/>
            <w:vAlign w:val="center"/>
          </w:tcPr>
          <w:p>
            <w:pPr>
              <w:spacing w:after="0"/>
            </w:pPr>
            <w:r>
              <w:rPr>
                <w:rFonts w:ascii="宋体" w:hAnsi="宋体" w:eastAsia="宋体"/>
                <w:sz w:val="18"/>
              </w:rPr>
              <w:t>micp/validators.py</w:t>
            </w:r>
          </w:p>
        </w:tc>
        <w:tc>
          <w:tcPr>
            <w:tcW w:type="dxa" w:w="3120"/>
            <w:vAlign w:val="center"/>
          </w:tcPr>
          <w:p>
            <w:pPr>
              <w:spacing w:after="0"/>
            </w:pPr>
            <w:r>
              <w:rPr>
                <w:rFonts w:ascii="宋体" w:hAnsi="宋体" w:eastAsia="宋体"/>
                <w:sz w:val="18"/>
              </w:rPr>
              <w:t>validate_row()、validate_rows()、parse_csv()</w:t>
            </w:r>
          </w:p>
        </w:tc>
        <w:tc>
          <w:tcPr>
            <w:tcW w:type="dxa" w:w="3120"/>
            <w:vAlign w:val="center"/>
          </w:tcPr>
          <w:p>
            <w:pPr>
              <w:spacing w:after="0"/>
            </w:pPr>
            <w:r>
              <w:rPr>
                <w:rFonts w:ascii="宋体" w:hAnsi="宋体" w:eastAsia="宋体"/>
                <w:sz w:val="18"/>
              </w:rPr>
              <w:t>校验</w:t>
            </w:r>
          </w:p>
        </w:tc>
      </w:tr>
      <w:tr>
        <w:tc>
          <w:tcPr>
            <w:tcW w:type="dxa" w:w="3120"/>
            <w:vAlign w:val="center"/>
          </w:tcPr>
          <w:p>
            <w:pPr>
              <w:spacing w:after="0"/>
            </w:pPr>
            <w:r>
              <w:rPr>
                <w:rFonts w:ascii="宋体" w:hAnsi="宋体" w:eastAsia="宋体"/>
                <w:sz w:val="18"/>
              </w:rPr>
              <w:t>micp/synthetic.py</w:t>
            </w:r>
          </w:p>
        </w:tc>
        <w:tc>
          <w:tcPr>
            <w:tcW w:type="dxa" w:w="3120"/>
            <w:vAlign w:val="center"/>
          </w:tcPr>
          <w:p>
            <w:pPr>
              <w:spacing w:after="0"/>
            </w:pPr>
            <w:r>
              <w:rPr>
                <w:rFonts w:ascii="宋体" w:hAnsi="宋体" w:eastAsia="宋体"/>
                <w:sz w:val="18"/>
              </w:rPr>
              <w:t>generate_dataset()、DEFAULT_SCHEMES</w:t>
            </w:r>
          </w:p>
        </w:tc>
        <w:tc>
          <w:tcPr>
            <w:tcW w:type="dxa" w:w="3120"/>
            <w:vAlign w:val="center"/>
          </w:tcPr>
          <w:p>
            <w:pPr>
              <w:spacing w:after="0"/>
            </w:pPr>
            <w:r>
              <w:rPr>
                <w:rFonts w:ascii="宋体" w:hAnsi="宋体" w:eastAsia="宋体"/>
                <w:sz w:val="18"/>
              </w:rPr>
              <w:t>示范数据</w:t>
            </w:r>
          </w:p>
        </w:tc>
      </w:tr>
      <w:tr>
        <w:tc>
          <w:tcPr>
            <w:tcW w:type="dxa" w:w="3120"/>
            <w:vAlign w:val="center"/>
          </w:tcPr>
          <w:p>
            <w:pPr>
              <w:spacing w:after="0"/>
            </w:pPr>
            <w:r>
              <w:rPr>
                <w:rFonts w:ascii="宋体" w:hAnsi="宋体" w:eastAsia="宋体"/>
                <w:sz w:val="18"/>
              </w:rPr>
              <w:t>micp/report.py</w:t>
            </w:r>
          </w:p>
        </w:tc>
        <w:tc>
          <w:tcPr>
            <w:tcW w:type="dxa" w:w="3120"/>
            <w:vAlign w:val="center"/>
          </w:tcPr>
          <w:p>
            <w:pPr>
              <w:spacing w:after="0"/>
            </w:pPr>
            <w:r>
              <w:rPr>
                <w:rFonts w:ascii="宋体" w:hAnsi="宋体" w:eastAsia="宋体"/>
                <w:sz w:val="18"/>
              </w:rPr>
              <w:t>svg_bar_chart()、svg_scatter()、svg_grouped_bars()、build_report_html()</w:t>
            </w:r>
          </w:p>
        </w:tc>
        <w:tc>
          <w:tcPr>
            <w:tcW w:type="dxa" w:w="3120"/>
            <w:vAlign w:val="center"/>
          </w:tcPr>
          <w:p>
            <w:pPr>
              <w:spacing w:after="0"/>
            </w:pPr>
            <w:r>
              <w:rPr>
                <w:rFonts w:ascii="宋体" w:hAnsi="宋体" w:eastAsia="宋体"/>
                <w:sz w:val="18"/>
              </w:rPr>
              <w:t>报告</w:t>
            </w:r>
          </w:p>
        </w:tc>
      </w:tr>
      <w:tr>
        <w:tc>
          <w:tcPr>
            <w:tcW w:type="dxa" w:w="3120"/>
            <w:vAlign w:val="center"/>
          </w:tcPr>
          <w:p>
            <w:pPr>
              <w:spacing w:after="0"/>
            </w:pPr>
            <w:r>
              <w:rPr>
                <w:rFonts w:ascii="宋体" w:hAnsi="宋体" w:eastAsia="宋体"/>
                <w:sz w:val="18"/>
              </w:rPr>
              <w:t>micp/__init__.py</w:t>
            </w:r>
          </w:p>
        </w:tc>
        <w:tc>
          <w:tcPr>
            <w:tcW w:type="dxa" w:w="3120"/>
            <w:vAlign w:val="center"/>
          </w:tcPr>
          <w:p>
            <w:pPr>
              <w:spacing w:after="0"/>
            </w:pPr>
            <w:r>
              <w:rPr>
                <w:rFonts w:ascii="宋体" w:hAnsi="宋体" w:eastAsia="宋体"/>
                <w:sz w:val="18"/>
              </w:rPr>
              <w:t>train_models()、evaluate_models()、predict()、partial_dependence()、morris()、optimize()、rank_schemes()、recommend_best_scheme()、analyze_dataset()、correlation()、validate_rows()、parse_csv()、build_report_html()</w:t>
            </w:r>
          </w:p>
        </w:tc>
        <w:tc>
          <w:tcPr>
            <w:tcW w:type="dxa" w:w="3120"/>
            <w:vAlign w:val="center"/>
          </w:tcPr>
          <w:p>
            <w:pPr>
              <w:spacing w:after="0"/>
            </w:pPr>
            <w:r>
              <w:rPr>
                <w:rFonts w:ascii="宋体" w:hAnsi="宋体" w:eastAsia="宋体"/>
                <w:sz w:val="18"/>
              </w:rPr>
              <w:t>对外门面</w:t>
            </w:r>
          </w:p>
        </w:tc>
      </w:tr>
      <w:tr>
        <w:tc>
          <w:tcPr>
            <w:tcW w:type="dxa" w:w="3120"/>
            <w:vAlign w:val="center"/>
          </w:tcPr>
          <w:p>
            <w:pPr>
              <w:spacing w:after="0"/>
            </w:pPr>
            <w:r>
              <w:rPr>
                <w:rFonts w:ascii="宋体" w:hAnsi="宋体" w:eastAsia="宋体"/>
                <w:sz w:val="18"/>
              </w:rPr>
              <w:t>db.py</w:t>
            </w:r>
          </w:p>
        </w:tc>
        <w:tc>
          <w:tcPr>
            <w:tcW w:type="dxa" w:w="3120"/>
            <w:vAlign w:val="center"/>
          </w:tcPr>
          <w:p>
            <w:pPr>
              <w:spacing w:after="0"/>
            </w:pPr>
            <w:r>
              <w:rPr>
                <w:rFonts w:ascii="宋体" w:hAnsi="宋体" w:eastAsia="宋体"/>
                <w:sz w:val="18"/>
              </w:rPr>
              <w:t>init_db()、create_user()、create_session()、create_project()、upsert_schemes()、replace_dataset()、save_model()、load_model()、list_model_history()、seed_defaults()</w:t>
            </w:r>
          </w:p>
        </w:tc>
        <w:tc>
          <w:tcPr>
            <w:tcW w:type="dxa" w:w="3120"/>
            <w:vAlign w:val="center"/>
          </w:tcPr>
          <w:p>
            <w:pPr>
              <w:spacing w:after="0"/>
            </w:pPr>
            <w:r>
              <w:rPr>
                <w:rFonts w:ascii="宋体" w:hAnsi="宋体" w:eastAsia="宋体"/>
                <w:sz w:val="18"/>
              </w:rPr>
              <w:t>数据访问</w:t>
            </w:r>
          </w:p>
        </w:tc>
      </w:tr>
      <w:tr>
        <w:tc>
          <w:tcPr>
            <w:tcW w:type="dxa" w:w="3120"/>
            <w:vAlign w:val="center"/>
          </w:tcPr>
          <w:p>
            <w:pPr>
              <w:spacing w:after="0"/>
            </w:pPr>
            <w:r>
              <w:rPr>
                <w:rFonts w:ascii="宋体" w:hAnsi="宋体" w:eastAsia="宋体"/>
                <w:sz w:val="18"/>
              </w:rPr>
              <w:t>server.py</w:t>
            </w:r>
          </w:p>
        </w:tc>
        <w:tc>
          <w:tcPr>
            <w:tcW w:type="dxa" w:w="3120"/>
            <w:vAlign w:val="center"/>
          </w:tcPr>
          <w:p>
            <w:pPr>
              <w:spacing w:after="0"/>
            </w:pPr>
            <w:r>
              <w:rPr>
                <w:rFonts w:ascii="宋体" w:hAnsi="宋体" w:eastAsia="宋体"/>
                <w:sz w:val="18"/>
              </w:rPr>
              <w:t>create_app()、ApiError、各端点函数</w:t>
            </w:r>
          </w:p>
        </w:tc>
        <w:tc>
          <w:tcPr>
            <w:tcW w:type="dxa" w:w="3120"/>
            <w:vAlign w:val="center"/>
          </w:tcPr>
          <w:p>
            <w:pPr>
              <w:spacing w:after="0"/>
            </w:pPr>
            <w:r>
              <w:rPr>
                <w:rFonts w:ascii="宋体" w:hAnsi="宋体" w:eastAsia="宋体"/>
                <w:sz w:val="18"/>
              </w:rPr>
              <w:t>接口层</w:t>
            </w:r>
          </w:p>
        </w:tc>
      </w:tr>
      <w:tr>
        <w:tc>
          <w:tcPr>
            <w:tcW w:type="dxa" w:w="3120"/>
            <w:vAlign w:val="center"/>
          </w:tcPr>
          <w:p>
            <w:pPr>
              <w:spacing w:after="0"/>
            </w:pPr>
            <w:r>
              <w:rPr>
                <w:rFonts w:ascii="宋体" w:hAnsi="宋体" w:eastAsia="宋体"/>
                <w:sz w:val="18"/>
              </w:rPr>
              <w:t>static/app.js</w:t>
            </w:r>
          </w:p>
        </w:tc>
        <w:tc>
          <w:tcPr>
            <w:tcW w:type="dxa" w:w="3120"/>
            <w:vAlign w:val="center"/>
          </w:tcPr>
          <w:p>
            <w:pPr>
              <w:spacing w:after="0"/>
            </w:pPr>
            <w:r>
              <w:rPr>
                <w:rFonts w:ascii="宋体" w:hAnsi="宋体" w:eastAsia="宋体"/>
                <w:sz w:val="18"/>
              </w:rPr>
              <w:t>mechanismBaseline()、predictOffline()、runPrediction()、trainModels()、runMorris()、runOptimizer()、runAnalysis()、runCorrelation()、drawPdpChart()、drawParetoChart()、drawCorrelationMatrix()、buildReportHtml() 等</w:t>
            </w:r>
          </w:p>
        </w:tc>
        <w:tc>
          <w:tcPr>
            <w:tcW w:type="dxa" w:w="3120"/>
            <w:vAlign w:val="center"/>
          </w:tcPr>
          <w:p>
            <w:pPr>
              <w:spacing w:after="0"/>
            </w:pPr>
            <w:r>
              <w:rPr>
                <w:rFonts w:ascii="宋体" w:hAnsi="宋体" w:eastAsia="宋体"/>
                <w:sz w:val="18"/>
              </w:rPr>
              <w:t>前端逻辑</w:t>
            </w:r>
          </w:p>
        </w:tc>
      </w:tr>
    </w:tbl>
    <w:p>
      <w:pPr>
        <w:pStyle w:val="Heading2"/>
      </w:pPr>
      <w:r>
        <w:t>7. 接口规范</w:t>
      </w:r>
    </w:p>
    <w:p>
      <w:r>
        <w:t>所有接口前缀 /api，请求与响应均为 JSON。除认证接口外均可携带 Authorization: Bearer &lt;token&gt; 与 ?projectId= 指定项目；未指定时使用默认项目。错误统一为 { "error": string, "detail": any }。</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2340"/>
        <w:gridCol w:w="2340"/>
        <w:gridCol w:w="2340"/>
        <w:gridCol w:w="2340"/>
      </w:tblGrid>
      <w:tr>
        <w:tc>
          <w:tcPr>
            <w:tcW w:type="dxa" w:w="2340"/>
            <w:shd w:fill="F2F4F7"/>
            <w:vAlign w:val="center"/>
          </w:tcPr>
          <w:p>
            <w:pPr>
              <w:spacing w:after="0"/>
            </w:pPr>
            <w:r>
              <w:rPr>
                <w:rFonts w:ascii="宋体" w:hAnsi="宋体" w:eastAsia="宋体"/>
                <w:sz w:val="18"/>
              </w:rPr>
              <w:t>方法</w:t>
            </w:r>
          </w:p>
        </w:tc>
        <w:tc>
          <w:tcPr>
            <w:tcW w:type="dxa" w:w="2340"/>
            <w:shd w:fill="F2F4F7"/>
            <w:vAlign w:val="center"/>
          </w:tcPr>
          <w:p>
            <w:pPr>
              <w:spacing w:after="0"/>
            </w:pPr>
            <w:r>
              <w:rPr>
                <w:rFonts w:ascii="宋体" w:hAnsi="宋体" w:eastAsia="宋体"/>
                <w:sz w:val="18"/>
              </w:rPr>
              <w:t>路径</w:t>
            </w:r>
          </w:p>
        </w:tc>
        <w:tc>
          <w:tcPr>
            <w:tcW w:type="dxa" w:w="2340"/>
            <w:shd w:fill="F2F4F7"/>
            <w:vAlign w:val="center"/>
          </w:tcPr>
          <w:p>
            <w:pPr>
              <w:spacing w:after="0"/>
            </w:pPr>
            <w:r>
              <w:rPr>
                <w:rFonts w:ascii="宋体" w:hAnsi="宋体" w:eastAsia="宋体"/>
                <w:sz w:val="18"/>
              </w:rPr>
              <w:t>请求体要点</w:t>
            </w:r>
          </w:p>
        </w:tc>
        <w:tc>
          <w:tcPr>
            <w:tcW w:type="dxa" w:w="2340"/>
            <w:shd w:fill="F2F4F7"/>
            <w:vAlign w:val="center"/>
          </w:tcPr>
          <w:p>
            <w:pPr>
              <w:spacing w:after="0"/>
            </w:pPr>
            <w:r>
              <w:rPr>
                <w:rFonts w:ascii="宋体" w:hAnsi="宋体" w:eastAsia="宋体"/>
                <w:sz w:val="18"/>
              </w:rPr>
              <w:t>响应要点</w:t>
            </w:r>
          </w:p>
        </w:tc>
      </w:tr>
      <w:tr>
        <w:tc>
          <w:tcPr>
            <w:tcW w:type="dxa" w:w="2340"/>
            <w:vAlign w:val="center"/>
          </w:tcPr>
          <w:p>
            <w:pPr>
              <w:spacing w:after="0"/>
            </w:pPr>
            <w:r>
              <w:rPr>
                <w:rFonts w:ascii="宋体" w:hAnsi="宋体" w:eastAsia="宋体"/>
                <w:sz w:val="18"/>
              </w:rPr>
              <w:t>GET</w:t>
            </w:r>
          </w:p>
        </w:tc>
        <w:tc>
          <w:tcPr>
            <w:tcW w:type="dxa" w:w="2340"/>
            <w:vAlign w:val="center"/>
          </w:tcPr>
          <w:p>
            <w:pPr>
              <w:spacing w:after="0"/>
            </w:pPr>
            <w:r>
              <w:rPr>
                <w:rFonts w:ascii="宋体" w:hAnsi="宋体" w:eastAsia="宋体"/>
                <w:sz w:val="18"/>
              </w:rPr>
              <w:t>/health</w:t>
            </w:r>
          </w:p>
        </w:tc>
        <w:tc>
          <w:tcPr>
            <w:tcW w:type="dxa" w:w="2340"/>
            <w:vAlign w:val="center"/>
          </w:tcPr>
          <w:p>
            <w:pPr>
              <w:spacing w:after="0"/>
            </w:pPr>
            <w:r>
              <w:rPr>
                <w:rFonts w:ascii="宋体" w:hAnsi="宋体" w:eastAsia="宋体"/>
                <w:sz w:val="18"/>
              </w:rPr>
              <w:t>-</w:t>
            </w:r>
          </w:p>
        </w:tc>
        <w:tc>
          <w:tcPr>
            <w:tcW w:type="dxa" w:w="2340"/>
            <w:vAlign w:val="center"/>
          </w:tcPr>
          <w:p>
            <w:pPr>
              <w:spacing w:after="0"/>
            </w:pPr>
            <w:r>
              <w:rPr>
                <w:rFonts w:ascii="宋体" w:hAnsi="宋体" w:eastAsia="宋体"/>
                <w:sz w:val="18"/>
              </w:rPr>
              <w:t>ok、version、projectId、models[]、sampleCount、minTrainSamples、user</w:t>
            </w:r>
          </w:p>
        </w:tc>
      </w:tr>
      <w:tr>
        <w:tc>
          <w:tcPr>
            <w:tcW w:type="dxa" w:w="2340"/>
            <w:vAlign w:val="center"/>
          </w:tcPr>
          <w:p>
            <w:pPr>
              <w:spacing w:after="0"/>
            </w:pPr>
            <w:r>
              <w:rPr>
                <w:rFonts w:ascii="宋体" w:hAnsi="宋体" w:eastAsia="宋体"/>
                <w:sz w:val="18"/>
              </w:rPr>
              <w:t>GET</w:t>
            </w:r>
          </w:p>
        </w:tc>
        <w:tc>
          <w:tcPr>
            <w:tcW w:type="dxa" w:w="2340"/>
            <w:vAlign w:val="center"/>
          </w:tcPr>
          <w:p>
            <w:pPr>
              <w:spacing w:after="0"/>
            </w:pPr>
            <w:r>
              <w:rPr>
                <w:rFonts w:ascii="宋体" w:hAnsi="宋体" w:eastAsia="宋体"/>
                <w:sz w:val="18"/>
              </w:rPr>
              <w:t>/dictionary</w:t>
            </w:r>
          </w:p>
        </w:tc>
        <w:tc>
          <w:tcPr>
            <w:tcW w:type="dxa" w:w="2340"/>
            <w:vAlign w:val="center"/>
          </w:tcPr>
          <w:p>
            <w:pPr>
              <w:spacing w:after="0"/>
            </w:pPr>
            <w:r>
              <w:rPr>
                <w:rFonts w:ascii="宋体" w:hAnsi="宋体" w:eastAsia="宋体"/>
                <w:sz w:val="18"/>
              </w:rPr>
              <w:t>-</w:t>
            </w:r>
          </w:p>
        </w:tc>
        <w:tc>
          <w:tcPr>
            <w:tcW w:type="dxa" w:w="2340"/>
            <w:vAlign w:val="center"/>
          </w:tcPr>
          <w:p>
            <w:pPr>
              <w:spacing w:after="0"/>
            </w:pPr>
            <w:r>
              <w:rPr>
                <w:rFonts w:ascii="宋体" w:hAnsi="宋体" w:eastAsia="宋体"/>
                <w:sz w:val="18"/>
              </w:rPr>
              <w:t>params[]、metrics[]、features[]</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/auth/register</w:t>
            </w:r>
          </w:p>
        </w:tc>
        <w:tc>
          <w:tcPr>
            <w:tcW w:type="dxa" w:w="2340"/>
            <w:vAlign w:val="center"/>
          </w:tcPr>
          <w:p>
            <w:pPr>
              <w:spacing w:after="0"/>
            </w:pPr>
            <w:r>
              <w:rPr>
                <w:rFonts w:ascii="宋体" w:hAnsi="宋体" w:eastAsia="宋体"/>
                <w:sz w:val="18"/>
              </w:rPr>
              <w:t>username、password（≥ 6 位）</w:t>
            </w:r>
          </w:p>
        </w:tc>
        <w:tc>
          <w:tcPr>
            <w:tcW w:type="dxa" w:w="2340"/>
            <w:vAlign w:val="center"/>
          </w:tcPr>
          <w:p>
            <w:pPr>
              <w:spacing w:after="0"/>
            </w:pPr>
            <w:r>
              <w:rPr>
                <w:rFonts w:ascii="宋体" w:hAnsi="宋体" w:eastAsia="宋体"/>
                <w:sz w:val="18"/>
              </w:rPr>
              <w:t>user；409 用户名已存在</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/auth/login</w:t>
            </w:r>
          </w:p>
        </w:tc>
        <w:tc>
          <w:tcPr>
            <w:tcW w:type="dxa" w:w="2340"/>
            <w:vAlign w:val="center"/>
          </w:tcPr>
          <w:p>
            <w:pPr>
              <w:spacing w:after="0"/>
            </w:pPr>
            <w:r>
              <w:rPr>
                <w:rFonts w:ascii="宋体" w:hAnsi="宋体" w:eastAsia="宋体"/>
                <w:sz w:val="18"/>
              </w:rPr>
              <w:t>username、password</w:t>
            </w:r>
          </w:p>
        </w:tc>
        <w:tc>
          <w:tcPr>
            <w:tcW w:type="dxa" w:w="2340"/>
            <w:vAlign w:val="center"/>
          </w:tcPr>
          <w:p>
            <w:pPr>
              <w:spacing w:after="0"/>
            </w:pPr>
            <w:r>
              <w:rPr>
                <w:rFonts w:ascii="宋体" w:hAnsi="宋体" w:eastAsia="宋体"/>
                <w:sz w:val="18"/>
              </w:rPr>
              <w:t>token、user；401</w:t>
            </w:r>
          </w:p>
        </w:tc>
      </w:tr>
      <w:tr>
        <w:tc>
          <w:tcPr>
            <w:tcW w:type="dxa" w:w="2340"/>
            <w:vAlign w:val="center"/>
          </w:tcPr>
          <w:p>
            <w:pPr>
              <w:spacing w:after="0"/>
            </w:pPr>
            <w:r>
              <w:rPr>
                <w:rFonts w:ascii="宋体" w:hAnsi="宋体" w:eastAsia="宋体"/>
                <w:sz w:val="18"/>
              </w:rPr>
              <w:t>GET</w:t>
            </w:r>
          </w:p>
        </w:tc>
        <w:tc>
          <w:tcPr>
            <w:tcW w:type="dxa" w:w="2340"/>
            <w:vAlign w:val="center"/>
          </w:tcPr>
          <w:p>
            <w:pPr>
              <w:spacing w:after="0"/>
            </w:pPr>
            <w:r>
              <w:rPr>
                <w:rFonts w:ascii="宋体" w:hAnsi="宋体" w:eastAsia="宋体"/>
                <w:sz w:val="18"/>
              </w:rPr>
              <w:t>/auth/me</w:t>
            </w:r>
          </w:p>
        </w:tc>
        <w:tc>
          <w:tcPr>
            <w:tcW w:type="dxa" w:w="2340"/>
            <w:vAlign w:val="center"/>
          </w:tcPr>
          <w:p>
            <w:pPr>
              <w:spacing w:after="0"/>
            </w:pPr>
            <w:r>
              <w:rPr>
                <w:rFonts w:ascii="宋体" w:hAnsi="宋体" w:eastAsia="宋体"/>
                <w:sz w:val="18"/>
              </w:rPr>
              <w:t>token</w:t>
            </w:r>
          </w:p>
        </w:tc>
        <w:tc>
          <w:tcPr>
            <w:tcW w:type="dxa" w:w="2340"/>
            <w:vAlign w:val="center"/>
          </w:tcPr>
          <w:p>
            <w:pPr>
              <w:spacing w:after="0"/>
            </w:pPr>
            <w:r>
              <w:rPr>
                <w:rFonts w:ascii="宋体" w:hAnsi="宋体" w:eastAsia="宋体"/>
                <w:sz w:val="18"/>
              </w:rPr>
              <w:t>user；401</w:t>
            </w:r>
          </w:p>
        </w:tc>
      </w:tr>
      <w:tr>
        <w:tc>
          <w:tcPr>
            <w:tcW w:type="dxa" w:w="2340"/>
            <w:vAlign w:val="center"/>
          </w:tcPr>
          <w:p>
            <w:pPr>
              <w:spacing w:after="0"/>
            </w:pPr>
            <w:r>
              <w:rPr>
                <w:rFonts w:ascii="宋体" w:hAnsi="宋体" w:eastAsia="宋体"/>
                <w:sz w:val="18"/>
              </w:rPr>
              <w:t>GET / POST</w:t>
            </w:r>
          </w:p>
        </w:tc>
        <w:tc>
          <w:tcPr>
            <w:tcW w:type="dxa" w:w="2340"/>
            <w:vAlign w:val="center"/>
          </w:tcPr>
          <w:p>
            <w:pPr>
              <w:spacing w:after="0"/>
            </w:pPr>
            <w:r>
              <w:rPr>
                <w:rFonts w:ascii="宋体" w:hAnsi="宋体" w:eastAsia="宋体"/>
                <w:sz w:val="18"/>
              </w:rPr>
              <w:t>/projects</w:t>
            </w:r>
          </w:p>
        </w:tc>
        <w:tc>
          <w:tcPr>
            <w:tcW w:type="dxa" w:w="2340"/>
            <w:vAlign w:val="center"/>
          </w:tcPr>
          <w:p>
            <w:pPr>
              <w:spacing w:after="0"/>
            </w:pPr>
            <w:r>
              <w:rPr>
                <w:rFonts w:ascii="宋体" w:hAnsi="宋体" w:eastAsia="宋体"/>
                <w:sz w:val="18"/>
              </w:rPr>
              <w:t>name、description</w:t>
            </w:r>
          </w:p>
        </w:tc>
        <w:tc>
          <w:tcPr>
            <w:tcW w:type="dxa" w:w="2340"/>
            <w:vAlign w:val="center"/>
          </w:tcPr>
          <w:p>
            <w:pPr>
              <w:spacing w:after="0"/>
            </w:pPr>
            <w:r>
              <w:rPr>
                <w:rFonts w:ascii="宋体" w:hAnsi="宋体" w:eastAsia="宋体"/>
                <w:sz w:val="18"/>
              </w:rPr>
              <w:t>projects[] / project</w:t>
            </w:r>
          </w:p>
        </w:tc>
      </w:tr>
      <w:tr>
        <w:tc>
          <w:tcPr>
            <w:tcW w:type="dxa" w:w="2340"/>
            <w:vAlign w:val="center"/>
          </w:tcPr>
          <w:p>
            <w:pPr>
              <w:spacing w:after="0"/>
            </w:pPr>
            <w:r>
              <w:rPr>
                <w:rFonts w:ascii="宋体" w:hAnsi="宋体" w:eastAsia="宋体"/>
                <w:sz w:val="18"/>
              </w:rPr>
              <w:t>GET / POST</w:t>
            </w:r>
          </w:p>
        </w:tc>
        <w:tc>
          <w:tcPr>
            <w:tcW w:type="dxa" w:w="2340"/>
            <w:vAlign w:val="center"/>
          </w:tcPr>
          <w:p>
            <w:pPr>
              <w:spacing w:after="0"/>
            </w:pPr>
            <w:r>
              <w:rPr>
                <w:rFonts w:ascii="宋体" w:hAnsi="宋体" w:eastAsia="宋体"/>
                <w:sz w:val="18"/>
              </w:rPr>
              <w:t>/schemes</w:t>
            </w:r>
          </w:p>
        </w:tc>
        <w:tc>
          <w:tcPr>
            <w:tcW w:type="dxa" w:w="2340"/>
            <w:vAlign w:val="center"/>
          </w:tcPr>
          <w:p>
            <w:pPr>
              <w:spacing w:after="0"/>
            </w:pPr>
            <w:r>
              <w:rPr>
                <w:rFonts w:ascii="宋体" w:hAnsi="宋体" w:eastAsia="宋体"/>
                <w:sz w:val="18"/>
              </w:rPr>
              <w:t>schemes[]</w:t>
            </w:r>
          </w:p>
        </w:tc>
        <w:tc>
          <w:tcPr>
            <w:tcW w:type="dxa" w:w="2340"/>
            <w:vAlign w:val="center"/>
          </w:tcPr>
          <w:p>
            <w:pPr>
              <w:spacing w:after="0"/>
            </w:pPr>
            <w:r>
              <w:rPr>
                <w:rFonts w:ascii="宋体" w:hAnsi="宋体" w:eastAsia="宋体"/>
                <w:sz w:val="18"/>
              </w:rPr>
              <w:t>schemes[]、warnings[]；422 detail=校验结果</w:t>
            </w:r>
          </w:p>
        </w:tc>
      </w:tr>
      <w:tr>
        <w:tc>
          <w:tcPr>
            <w:tcW w:type="dxa" w:w="2340"/>
            <w:vAlign w:val="center"/>
          </w:tcPr>
          <w:p>
            <w:pPr>
              <w:spacing w:after="0"/>
            </w:pPr>
            <w:r>
              <w:rPr>
                <w:rFonts w:ascii="宋体" w:hAnsi="宋体" w:eastAsia="宋体"/>
                <w:sz w:val="18"/>
              </w:rPr>
              <w:t>GET / POST</w:t>
            </w:r>
          </w:p>
        </w:tc>
        <w:tc>
          <w:tcPr>
            <w:tcW w:type="dxa" w:w="2340"/>
            <w:vAlign w:val="center"/>
          </w:tcPr>
          <w:p>
            <w:pPr>
              <w:spacing w:after="0"/>
            </w:pPr>
            <w:r>
              <w:rPr>
                <w:rFonts w:ascii="宋体" w:hAnsi="宋体" w:eastAsia="宋体"/>
                <w:sz w:val="18"/>
              </w:rPr>
              <w:t>/dataset</w:t>
            </w:r>
          </w:p>
        </w:tc>
        <w:tc>
          <w:tcPr>
            <w:tcW w:type="dxa" w:w="2340"/>
            <w:vAlign w:val="center"/>
          </w:tcPr>
          <w:p>
            <w:pPr>
              <w:spacing w:after="0"/>
            </w:pPr>
            <w:r>
              <w:rPr>
                <w:rFonts w:ascii="宋体" w:hAnsi="宋体" w:eastAsia="宋体"/>
                <w:sz w:val="18"/>
              </w:rPr>
              <w:t>rows[]、skipInvalid</w:t>
            </w:r>
          </w:p>
        </w:tc>
        <w:tc>
          <w:tcPr>
            <w:tcW w:type="dxa" w:w="2340"/>
            <w:vAlign w:val="center"/>
          </w:tcPr>
          <w:p>
            <w:pPr>
              <w:spacing w:after="0"/>
            </w:pPr>
            <w:r>
              <w:rPr>
                <w:rFonts w:ascii="宋体" w:hAnsi="宋体" w:eastAsia="宋体"/>
                <w:sz w:val="18"/>
              </w:rPr>
              <w:t>rows[]、warnings[]、rejected</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/dataset/validate</w:t>
            </w:r>
          </w:p>
        </w:tc>
        <w:tc>
          <w:tcPr>
            <w:tcW w:type="dxa" w:w="2340"/>
            <w:vAlign w:val="center"/>
          </w:tcPr>
          <w:p>
            <w:pPr>
              <w:spacing w:after="0"/>
            </w:pPr>
            <w:r>
              <w:rPr>
                <w:rFonts w:ascii="宋体" w:hAnsi="宋体" w:eastAsia="宋体"/>
                <w:sz w:val="18"/>
              </w:rPr>
              <w:t>kind、rows[] 或 csv</w:t>
            </w:r>
          </w:p>
        </w:tc>
        <w:tc>
          <w:tcPr>
            <w:tcW w:type="dxa" w:w="2340"/>
            <w:vAlign w:val="center"/>
          </w:tcPr>
          <w:p>
            <w:pPr>
              <w:spacing w:after="0"/>
            </w:pPr>
            <w:r>
              <w:rPr>
                <w:rFonts w:ascii="宋体" w:hAnsi="宋体" w:eastAsia="宋体"/>
                <w:sz w:val="18"/>
              </w:rPr>
              <w:t>total、accepted、rejected、valid[]、errors[]、warnings[]、unknownHeaders[]</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/train</w:t>
            </w:r>
          </w:p>
        </w:tc>
        <w:tc>
          <w:tcPr>
            <w:tcW w:type="dxa" w:w="2340"/>
            <w:vAlign w:val="center"/>
          </w:tcPr>
          <w:p>
            <w:pPr>
              <w:spacing w:after="0"/>
            </w:pPr>
            <w:r>
              <w:rPr>
                <w:rFonts w:ascii="宋体" w:hAnsi="宋体" w:eastAsia="宋体"/>
                <w:sz w:val="18"/>
              </w:rPr>
              <w:t>-</w:t>
            </w:r>
          </w:p>
        </w:tc>
        <w:tc>
          <w:tcPr>
            <w:tcW w:type="dxa" w:w="2340"/>
            <w:vAlign w:val="center"/>
          </w:tcPr>
          <w:p>
            <w:pPr>
              <w:spacing w:after="0"/>
            </w:pPr>
            <w:r>
              <w:rPr>
                <w:rFonts w:ascii="宋体" w:hAnsi="宋体" w:eastAsia="宋体"/>
                <w:sz w:val="18"/>
              </w:rPr>
              <w:t>trainedModels[]、versions{}、recommended、metrics{}</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/models/evaluate</w:t>
            </w:r>
          </w:p>
        </w:tc>
        <w:tc>
          <w:tcPr>
            <w:tcW w:type="dxa" w:w="2340"/>
            <w:vAlign w:val="center"/>
          </w:tcPr>
          <w:p>
            <w:pPr>
              <w:spacing w:after="0"/>
            </w:pPr>
            <w:r>
              <w:rPr>
                <w:rFonts w:ascii="宋体" w:hAnsi="宋体" w:eastAsia="宋体"/>
                <w:sz w:val="18"/>
              </w:rPr>
              <w:t>-</w:t>
            </w:r>
          </w:p>
        </w:tc>
        <w:tc>
          <w:tcPr>
            <w:tcW w:type="dxa" w:w="2340"/>
            <w:vAlign w:val="center"/>
          </w:tcPr>
          <w:p>
            <w:pPr>
              <w:spacing w:after="0"/>
            </w:pPr>
            <w:r>
              <w:rPr>
                <w:rFonts w:ascii="宋体" w:hAnsi="宋体" w:eastAsia="宋体"/>
                <w:sz w:val="18"/>
              </w:rPr>
              <w:t>reports{}、recommended、ranking[]</w:t>
            </w:r>
          </w:p>
        </w:tc>
      </w:tr>
      <w:tr>
        <w:tc>
          <w:tcPr>
            <w:tcW w:type="dxa" w:w="2340"/>
            <w:vAlign w:val="center"/>
          </w:tcPr>
          <w:p>
            <w:pPr>
              <w:spacing w:after="0"/>
            </w:pPr>
            <w:r>
              <w:rPr>
                <w:rFonts w:ascii="宋体" w:hAnsi="宋体" w:eastAsia="宋体"/>
                <w:sz w:val="18"/>
              </w:rPr>
              <w:t>GET</w:t>
            </w:r>
          </w:p>
        </w:tc>
        <w:tc>
          <w:tcPr>
            <w:tcW w:type="dxa" w:w="2340"/>
            <w:vAlign w:val="center"/>
          </w:tcPr>
          <w:p>
            <w:pPr>
              <w:spacing w:after="0"/>
            </w:pPr>
            <w:r>
              <w:rPr>
                <w:rFonts w:ascii="宋体" w:hAnsi="宋体" w:eastAsia="宋体"/>
                <w:sz w:val="18"/>
              </w:rPr>
              <w:t>/models/history</w:t>
            </w:r>
          </w:p>
        </w:tc>
        <w:tc>
          <w:tcPr>
            <w:tcW w:type="dxa" w:w="2340"/>
            <w:vAlign w:val="center"/>
          </w:tcPr>
          <w:p>
            <w:pPr>
              <w:spacing w:after="0"/>
            </w:pPr>
            <w:r>
              <w:rPr>
                <w:rFonts w:ascii="宋体" w:hAnsi="宋体" w:eastAsia="宋体"/>
                <w:sz w:val="18"/>
              </w:rPr>
              <w:t>-</w:t>
            </w:r>
          </w:p>
        </w:tc>
        <w:tc>
          <w:tcPr>
            <w:tcW w:type="dxa" w:w="2340"/>
            <w:vAlign w:val="center"/>
          </w:tcPr>
          <w:p>
            <w:pPr>
              <w:spacing w:after="0"/>
            </w:pPr>
            <w:r>
              <w:rPr>
                <w:rFonts w:ascii="宋体" w:hAnsi="宋体" w:eastAsia="宋体"/>
                <w:sz w:val="18"/>
              </w:rPr>
              <w:t>history[]、current[]</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/predict</w:t>
            </w:r>
          </w:p>
        </w:tc>
        <w:tc>
          <w:tcPr>
            <w:tcW w:type="dxa" w:w="2340"/>
            <w:vAlign w:val="center"/>
          </w:tcPr>
          <w:p>
            <w:pPr>
              <w:spacing w:after="0"/>
            </w:pPr>
            <w:r>
              <w:rPr>
                <w:rFonts w:ascii="宋体" w:hAnsi="宋体" w:eastAsia="宋体"/>
                <w:sz w:val="18"/>
              </w:rPr>
              <w:t>scheme 或 schemeName、model、withMorris</w:t>
            </w:r>
          </w:p>
        </w:tc>
        <w:tc>
          <w:tcPr>
            <w:tcW w:type="dxa" w:w="2340"/>
            <w:vAlign w:val="center"/>
          </w:tcPr>
          <w:p>
            <w:pPr>
              <w:spacing w:after="0"/>
            </w:pPr>
            <w:r>
              <w:rPr>
                <w:rFonts w:ascii="宋体" w:hAnsi="宋体" w:eastAsia="宋体"/>
                <w:sz w:val="18"/>
              </w:rPr>
              <w:t>model、fallback、metrics{}、decomposition{}、features{}、mechanism[]、sensitivity[]、sensitivityMatrix{}</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/sensitivity/partial</w:t>
            </w:r>
          </w:p>
        </w:tc>
        <w:tc>
          <w:tcPr>
            <w:tcW w:type="dxa" w:w="2340"/>
            <w:vAlign w:val="center"/>
          </w:tcPr>
          <w:p>
            <w:pPr>
              <w:spacing w:after="0"/>
            </w:pPr>
            <w:r>
              <w:rPr>
                <w:rFonts w:ascii="宋体" w:hAnsi="宋体" w:eastAsia="宋体"/>
                <w:sz w:val="18"/>
              </w:rPr>
              <w:t>scheme / schemeName、model、param</w:t>
            </w:r>
          </w:p>
        </w:tc>
        <w:tc>
          <w:tcPr>
            <w:tcW w:type="dxa" w:w="2340"/>
            <w:vAlign w:val="center"/>
          </w:tcPr>
          <w:p>
            <w:pPr>
              <w:spacing w:after="0"/>
            </w:pPr>
            <w:r>
              <w:rPr>
                <w:rFonts w:ascii="宋体" w:hAnsi="宋体" w:eastAsia="宋体"/>
                <w:sz w:val="18"/>
              </w:rPr>
              <w:t>param、x[]、curves{}、current</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/sensitivity/morris</w:t>
            </w:r>
          </w:p>
        </w:tc>
        <w:tc>
          <w:tcPr>
            <w:tcW w:type="dxa" w:w="2340"/>
            <w:vAlign w:val="center"/>
          </w:tcPr>
          <w:p>
            <w:pPr>
              <w:spacing w:after="0"/>
            </w:pPr>
            <w:r>
              <w:rPr>
                <w:rFonts w:ascii="宋体" w:hAnsi="宋体" w:eastAsia="宋体"/>
                <w:sz w:val="18"/>
              </w:rPr>
              <w:t>model、trajectories(4~60)</w:t>
            </w:r>
          </w:p>
        </w:tc>
        <w:tc>
          <w:tcPr>
            <w:tcW w:type="dxa" w:w="2340"/>
            <w:vAlign w:val="center"/>
          </w:tcPr>
          <w:p>
            <w:pPr>
              <w:spacing w:after="0"/>
            </w:pPr>
            <w:r>
              <w:rPr>
                <w:rFonts w:ascii="宋体" w:hAnsi="宋体" w:eastAsia="宋体"/>
                <w:sz w:val="18"/>
              </w:rPr>
              <w:t>evaluations、overall[]、byMetric{}</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/optimize</w:t>
            </w:r>
          </w:p>
        </w:tc>
        <w:tc>
          <w:tcPr>
            <w:tcW w:type="dxa" w:w="2340"/>
            <w:vAlign w:val="center"/>
          </w:tcPr>
          <w:p>
            <w:pPr>
              <w:spacing w:after="0"/>
            </w:pPr>
            <w:r>
              <w:rPr>
                <w:rFonts w:ascii="宋体" w:hAnsi="宋体" w:eastAsia="宋体"/>
                <w:sz w:val="18"/>
              </w:rPr>
              <w:t>model、weights{}、fixed{}、bounds{}、restrictToData、topN</w:t>
            </w:r>
          </w:p>
        </w:tc>
        <w:tc>
          <w:tcPr>
            <w:tcW w:type="dxa" w:w="2340"/>
            <w:vAlign w:val="center"/>
          </w:tcPr>
          <w:p>
            <w:pPr>
              <w:spacing w:after="0"/>
            </w:pPr>
            <w:r>
              <w:rPr>
                <w:rFonts w:ascii="宋体" w:hAnsi="宋体" w:eastAsia="宋体"/>
                <w:sz w:val="18"/>
              </w:rPr>
              <w:t>evaluated、bounds{}、topSchemes[]、pareto[]、scatter[]</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/schemes/rank</w:t>
            </w:r>
          </w:p>
        </w:tc>
        <w:tc>
          <w:tcPr>
            <w:tcW w:type="dxa" w:w="2340"/>
            <w:vAlign w:val="center"/>
          </w:tcPr>
          <w:p>
            <w:pPr>
              <w:spacing w:after="0"/>
            </w:pPr>
            <w:r>
              <w:rPr>
                <w:rFonts w:ascii="宋体" w:hAnsi="宋体" w:eastAsia="宋体"/>
                <w:sz w:val="18"/>
              </w:rPr>
              <w:t>schemes[]、model、weights{}</w:t>
            </w:r>
          </w:p>
        </w:tc>
        <w:tc>
          <w:tcPr>
            <w:tcW w:type="dxa" w:w="2340"/>
            <w:vAlign w:val="center"/>
          </w:tcPr>
          <w:p>
            <w:pPr>
              <w:spacing w:after="0"/>
            </w:pPr>
            <w:r>
              <w:rPr>
                <w:rFonts w:ascii="宋体" w:hAnsi="宋体" w:eastAsia="宋体"/>
                <w:sz w:val="18"/>
              </w:rPr>
              <w:t>ranking[]、best</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/analyze</w:t>
            </w:r>
          </w:p>
        </w:tc>
        <w:tc>
          <w:tcPr>
            <w:tcW w:type="dxa" w:w="2340"/>
            <w:vAlign w:val="center"/>
          </w:tcPr>
          <w:p>
            <w:pPr>
              <w:spacing w:after="0"/>
            </w:pPr>
            <w:r>
              <w:rPr>
                <w:rFonts w:ascii="宋体" w:hAnsi="宋体" w:eastAsia="宋体"/>
                <w:sz w:val="18"/>
              </w:rPr>
              <w:t>factor、response</w:t>
            </w:r>
          </w:p>
        </w:tc>
        <w:tc>
          <w:tcPr>
            <w:tcW w:type="dxa" w:w="2340"/>
            <w:vAlign w:val="center"/>
          </w:tcPr>
          <w:p>
            <w:pPr>
              <w:spacing w:after="0"/>
            </w:pPr>
            <w:r>
              <w:rPr>
                <w:rFonts w:ascii="宋体" w:hAnsi="宋体" w:eastAsia="宋体"/>
                <w:sz w:val="18"/>
              </w:rPr>
              <w:t>sampleSize、removed、removedDetails[]、metricStats[]、anova{}、regression{}</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/statistics/correlation</w:t>
            </w:r>
          </w:p>
        </w:tc>
        <w:tc>
          <w:tcPr>
            <w:tcW w:type="dxa" w:w="2340"/>
            <w:vAlign w:val="center"/>
          </w:tcPr>
          <w:p>
            <w:pPr>
              <w:spacing w:after="0"/>
            </w:pPr>
            <w:r>
              <w:rPr>
                <w:rFonts w:ascii="宋体" w:hAnsi="宋体" w:eastAsia="宋体"/>
                <w:sz w:val="18"/>
              </w:rPr>
              <w:t>-</w:t>
            </w:r>
          </w:p>
        </w:tc>
        <w:tc>
          <w:tcPr>
            <w:tcW w:type="dxa" w:w="2340"/>
            <w:vAlign w:val="center"/>
          </w:tcPr>
          <w:p>
            <w:pPr>
              <w:spacing w:after="0"/>
            </w:pPr>
            <w:r>
              <w:rPr>
                <w:rFonts w:ascii="宋体" w:hAnsi="宋体" w:eastAsia="宋体"/>
                <w:sz w:val="18"/>
              </w:rPr>
              <w:t>keys[]、labels[]、r[][]、p[][]、topPairs[]</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/report</w:t>
            </w:r>
          </w:p>
        </w:tc>
        <w:tc>
          <w:tcPr>
            <w:tcW w:type="dxa" w:w="2340"/>
            <w:vAlign w:val="center"/>
          </w:tcPr>
          <w:p>
            <w:pPr>
              <w:spacing w:after="0"/>
            </w:pPr>
            <w:r>
              <w:rPr>
                <w:rFonts w:ascii="宋体" w:hAnsi="宋体" w:eastAsia="宋体"/>
                <w:sz w:val="18"/>
              </w:rPr>
              <w:t>model、prediction、analysis、evaluation、optimization</w:t>
            </w:r>
          </w:p>
        </w:tc>
        <w:tc>
          <w:tcPr>
            <w:tcW w:type="dxa" w:w="2340"/>
            <w:vAlign w:val="center"/>
          </w:tcPr>
          <w:p>
            <w:pPr>
              <w:spacing w:after="0"/>
            </w:pPr>
            <w:r>
              <w:rPr>
                <w:rFonts w:ascii="宋体" w:hAnsi="宋体" w:eastAsia="宋体"/>
                <w:sz w:val="18"/>
              </w:rPr>
              <w:t>html</w:t>
            </w:r>
          </w:p>
        </w:tc>
      </w:tr>
      <w:tr>
        <w:tc>
          <w:tcPr>
            <w:tcW w:type="dxa" w:w="2340"/>
            <w:vAlign w:val="center"/>
          </w:tcPr>
          <w:p>
            <w:pPr>
              <w:spacing w:after="0"/>
            </w:pPr>
            <w:r>
              <w:rPr>
                <w:rFonts w:ascii="宋体" w:hAnsi="宋体" w:eastAsia="宋体"/>
                <w:sz w:val="18"/>
              </w:rPr>
              <w:t>POST</w:t>
            </w:r>
          </w:p>
        </w:tc>
        <w:tc>
          <w:tcPr>
            <w:tcW w:type="dxa" w:w="2340"/>
            <w:vAlign w:val="center"/>
          </w:tcPr>
          <w:p>
            <w:pPr>
              <w:spacing w:after="0"/>
            </w:pPr>
            <w:r>
              <w:rPr>
                <w:rFonts w:ascii="宋体" w:hAnsi="宋体" w:eastAsia="宋体"/>
                <w:sz w:val="18"/>
              </w:rPr>
              <w:t>/seed</w:t>
            </w:r>
          </w:p>
        </w:tc>
        <w:tc>
          <w:tcPr>
            <w:tcW w:type="dxa" w:w="2340"/>
            <w:vAlign w:val="center"/>
          </w:tcPr>
          <w:p>
            <w:pPr>
              <w:spacing w:after="0"/>
            </w:pPr>
            <w:r>
              <w:rPr>
                <w:rFonts w:ascii="宋体" w:hAnsi="宋体" w:eastAsia="宋体"/>
                <w:sz w:val="18"/>
              </w:rPr>
              <w:t>-</w:t>
            </w:r>
          </w:p>
        </w:tc>
        <w:tc>
          <w:tcPr>
            <w:tcW w:type="dxa" w:w="2340"/>
            <w:vAlign w:val="center"/>
          </w:tcPr>
          <w:p>
            <w:pPr>
              <w:spacing w:after="0"/>
            </w:pPr>
            <w:r>
              <w:rPr>
                <w:rFonts w:ascii="宋体" w:hAnsi="宋体" w:eastAsia="宋体"/>
                <w:sz w:val="18"/>
              </w:rPr>
              <w:t>schemes[]、rows[]</w:t>
            </w:r>
          </w:p>
        </w:tc>
      </w:tr>
    </w:tbl>
    <w:p>
      <w:pPr>
        <w:pStyle w:val="Heading2"/>
      </w:pPr>
      <w:r>
        <w:t>8. 关键流程</w:t>
      </w:r>
    </w:p>
    <w:p>
      <w:pPr>
        <w:pStyle w:val="Heading3"/>
      </w:pPr>
      <w:r>
        <w:t>8.1 预测流程</w:t>
      </w:r>
    </w:p>
    <w:p>
      <w:pPr>
        <w:jc w:val="center"/>
      </w:pPr>
      <w:r>
        <w:drawing>
          <wp:inline xmlns:a="http://schemas.openxmlformats.org/drawingml/2006/main" xmlns:pic="http://schemas.openxmlformats.org/drawingml/2006/picture">
            <wp:extent cx="5688000" cy="2955347"/>
            <wp:docPr id="3" name="Picture 3"/>
            <wp:cNvGraphicFramePr>
              <a:graphicFrameLocks noChangeAspect="1"/>
            </wp:cNvGraphicFramePr>
            <a:graphic>
              <a:graphicData uri="http://schemas.openxmlformats.org/drawingml/2006/picture">
                <pic:pic>
                  <pic:nvPicPr>
                    <pic:cNvPr id="0" name="设计说明书-03.png"/>
                    <pic:cNvPicPr/>
                  </pic:nvPicPr>
                  <pic:blipFill>
                    <a:blip r:embed="rId13"/>
                    <a:stretch>
                      <a:fillRect/>
                    </a:stretch>
                  </pic:blipFill>
                  <pic:spPr>
                    <a:xfrm>
                      <a:off x="0" y="0"/>
                      <a:ext cx="5688000" cy="2955347"/>
                    </a:xfrm>
                    <a:prstGeom prst="rect"/>
                  </pic:spPr>
                </pic:pic>
              </a:graphicData>
            </a:graphic>
          </wp:inline>
        </w:drawing>
      </w:r>
    </w:p>
    <w:p>
      <w:pPr>
        <w:pStyle w:val="Heading3"/>
      </w:pPr>
      <w:r>
        <w:t>8.2 训练流程</w:t>
      </w:r>
    </w:p>
    <w:p>
      <w:pPr>
        <w:jc w:val="center"/>
      </w:pPr>
      <w:r>
        <w:drawing>
          <wp:inline xmlns:a="http://schemas.openxmlformats.org/drawingml/2006/main" xmlns:pic="http://schemas.openxmlformats.org/drawingml/2006/picture">
            <wp:extent cx="5688000" cy="7920853"/>
            <wp:docPr id="4" name="Picture 4"/>
            <wp:cNvGraphicFramePr>
              <a:graphicFrameLocks noChangeAspect="1"/>
            </wp:cNvGraphicFramePr>
            <a:graphic>
              <a:graphicData uri="http://schemas.openxmlformats.org/drawingml/2006/picture">
                <pic:pic>
                  <pic:nvPicPr>
                    <pic:cNvPr id="0" name="设计说明书-04.png"/>
                    <pic:cNvPicPr/>
                  </pic:nvPicPr>
                  <pic:blipFill>
                    <a:blip r:embed="rId14"/>
                    <a:stretch>
                      <a:fillRect/>
                    </a:stretch>
                  </pic:blipFill>
                  <pic:spPr>
                    <a:xfrm>
                      <a:off x="0" y="0"/>
                      <a:ext cx="5688000" cy="7920853"/>
                    </a:xfrm>
                    <a:prstGeom prst="rect"/>
                  </pic:spPr>
                </pic:pic>
              </a:graphicData>
            </a:graphic>
          </wp:inline>
        </w:drawing>
      </w:r>
    </w:p>
    <w:p>
      <w:pPr>
        <w:pStyle w:val="Heading3"/>
      </w:pPr>
      <w:r>
        <w:t>8.3 配比优化流程</w:t>
      </w:r>
    </w:p>
    <w:p>
      <w:pPr>
        <w:jc w:val="center"/>
      </w:pPr>
      <w:r>
        <w:drawing>
          <wp:inline xmlns:a="http://schemas.openxmlformats.org/drawingml/2006/main" xmlns:pic="http://schemas.openxmlformats.org/drawingml/2006/picture">
            <wp:extent cx="5688000" cy="8057184"/>
            <wp:docPr id="5" name="Picture 5"/>
            <wp:cNvGraphicFramePr>
              <a:graphicFrameLocks noChangeAspect="1"/>
            </wp:cNvGraphicFramePr>
            <a:graphic>
              <a:graphicData uri="http://schemas.openxmlformats.org/drawingml/2006/picture">
                <pic:pic>
                  <pic:nvPicPr>
                    <pic:cNvPr id="0" name="设计说明书-05.png"/>
                    <pic:cNvPicPr/>
                  </pic:nvPicPr>
                  <pic:blipFill>
                    <a:blip r:embed="rId15"/>
                    <a:stretch>
                      <a:fillRect/>
                    </a:stretch>
                  </pic:blipFill>
                  <pic:spPr>
                    <a:xfrm>
                      <a:off x="0" y="0"/>
                      <a:ext cx="5688000" cy="8057184"/>
                    </a:xfrm>
                    <a:prstGeom prst="rect"/>
                  </pic:spPr>
                </pic:pic>
              </a:graphicData>
            </a:graphic>
          </wp:inline>
        </w:drawing>
      </w:r>
    </w:p>
    <w:p>
      <w:pPr>
        <w:pStyle w:val="Heading3"/>
      </w:pPr>
      <w:r>
        <w:t>8.4 前端离线回退</w:t>
      </w:r>
    </w:p>
    <w:p>
      <w:r>
        <w:t>页面加载时请求 /api/health；失败则 state.online=false，所有按钮改用 JS 版机理模型（mechanismBaseline()、offlineSensitivity()、localPartialDependence()、analyzeLocally()、correlationLocally()），方案存于 localStorage。依赖后端的功能（交叉验证、Morris、配比优化、模型历史、报告服务端渲染）在离线时给出明确提示。</w:t>
      </w:r>
    </w:p>
    <w:p>
      <w:pPr>
        <w:pStyle w:val="Heading2"/>
      </w:pPr>
      <w:r>
        <w:t>9. 异常处理与安全</w:t>
      </w:r>
    </w:p>
    <w:p>
      <w:pPr>
        <w:pStyle w:val="ListBullet"/>
      </w:pPr>
      <w:r>
        <w:t>接口层 ApiError(message, status, detail) 统一抛出；HTTPException 与未捕获异常分别转换为 JSON 404/405 与 500，并记录堆栈。</w:t>
      </w:r>
    </w:p>
    <w:p>
      <w:pPr>
        <w:pStyle w:val="ListBullet"/>
      </w:pPr>
      <w:r>
        <w:t>校验失败返回 422，detail 中包含逐行逐字段错误，前端按行高亮。</w:t>
      </w:r>
    </w:p>
    <w:p>
      <w:pPr>
        <w:pStyle w:val="ListBullet"/>
      </w:pPr>
      <w:r>
        <w:t>算法依赖缺失（NumPy / scikit-learn 未安装）时服务仍可启动，相关接口返回 503 并附导入错误。</w:t>
      </w:r>
    </w:p>
    <w:p>
      <w:pPr>
        <w:pStyle w:val="ListBullet"/>
      </w:pPr>
      <w:r>
        <w:t>密码 scrypt 哈希存储；token 随机生成；写操作（方案、样本、训练、seed）校验用户对项目的访问权。</w:t>
      </w:r>
    </w:p>
    <w:p>
      <w:pPr>
        <w:pStyle w:val="ListBullet"/>
      </w:pPr>
      <w:r>
        <w:t>所有随机过程固定种子，保证同一数据集下结果可复现。</w:t>
      </w:r>
    </w:p>
    <w:p>
      <w:pPr>
        <w:pStyle w:val="Heading2"/>
      </w:pPr>
      <w:r>
        <w:t>10. 代码规模</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3120"/>
        <w:gridCol w:w="3120"/>
        <w:gridCol w:w="3120"/>
      </w:tblGrid>
      <w:tr>
        <w:tc>
          <w:tcPr>
            <w:tcW w:type="dxa" w:w="3120"/>
            <w:shd w:fill="F2F4F7"/>
            <w:vAlign w:val="center"/>
          </w:tcPr>
          <w:p>
            <w:pPr>
              <w:spacing w:after="0"/>
            </w:pPr>
            <w:r>
              <w:rPr>
                <w:rFonts w:ascii="宋体" w:hAnsi="宋体" w:eastAsia="宋体"/>
                <w:sz w:val="18"/>
              </w:rPr>
              <w:t>部分</w:t>
            </w:r>
          </w:p>
        </w:tc>
        <w:tc>
          <w:tcPr>
            <w:tcW w:type="dxa" w:w="3120"/>
            <w:shd w:fill="F2F4F7"/>
            <w:vAlign w:val="center"/>
          </w:tcPr>
          <w:p>
            <w:pPr>
              <w:spacing w:after="0"/>
            </w:pPr>
            <w:r>
              <w:rPr>
                <w:rFonts w:ascii="宋体" w:hAnsi="宋体" w:eastAsia="宋体"/>
                <w:sz w:val="18"/>
              </w:rPr>
              <w:t>文件</w:t>
            </w:r>
          </w:p>
        </w:tc>
        <w:tc>
          <w:tcPr>
            <w:tcW w:type="dxa" w:w="3120"/>
            <w:shd w:fill="F2F4F7"/>
            <w:vAlign w:val="center"/>
          </w:tcPr>
          <w:p>
            <w:pPr>
              <w:spacing w:after="0"/>
            </w:pPr>
            <w:r>
              <w:rPr>
                <w:rFonts w:ascii="宋体" w:hAnsi="宋体" w:eastAsia="宋体"/>
                <w:sz w:val="18"/>
              </w:rPr>
              <w:t>行数（约）</w:t>
            </w:r>
          </w:p>
        </w:tc>
      </w:tr>
      <w:tr>
        <w:tc>
          <w:tcPr>
            <w:tcW w:type="dxa" w:w="3120"/>
            <w:vAlign w:val="center"/>
          </w:tcPr>
          <w:p>
            <w:pPr>
              <w:spacing w:after="0"/>
            </w:pPr>
            <w:r>
              <w:rPr>
                <w:rFonts w:ascii="宋体" w:hAnsi="宋体" w:eastAsia="宋体"/>
                <w:sz w:val="18"/>
              </w:rPr>
              <w:t>算法包</w:t>
            </w:r>
          </w:p>
        </w:tc>
        <w:tc>
          <w:tcPr>
            <w:tcW w:type="dxa" w:w="3120"/>
            <w:vAlign w:val="center"/>
          </w:tcPr>
          <w:p>
            <w:pPr>
              <w:spacing w:after="0"/>
            </w:pPr>
            <w:r>
              <w:rPr>
                <w:rFonts w:ascii="宋体" w:hAnsi="宋体" w:eastAsia="宋体"/>
                <w:sz w:val="18"/>
              </w:rPr>
              <w:t>backend/micp/*.py（11 个）</w:t>
            </w:r>
          </w:p>
        </w:tc>
        <w:tc>
          <w:tcPr>
            <w:tcW w:type="dxa" w:w="3120"/>
            <w:vAlign w:val="center"/>
          </w:tcPr>
          <w:p>
            <w:pPr>
              <w:spacing w:after="0"/>
            </w:pPr>
            <w:r>
              <w:rPr>
                <w:rFonts w:ascii="宋体" w:hAnsi="宋体" w:eastAsia="宋体"/>
                <w:sz w:val="18"/>
              </w:rPr>
              <w:t>2 333</w:t>
            </w:r>
          </w:p>
        </w:tc>
      </w:tr>
      <w:tr>
        <w:tc>
          <w:tcPr>
            <w:tcW w:type="dxa" w:w="3120"/>
            <w:vAlign w:val="center"/>
          </w:tcPr>
          <w:p>
            <w:pPr>
              <w:spacing w:after="0"/>
            </w:pPr>
            <w:r>
              <w:rPr>
                <w:rFonts w:ascii="宋体" w:hAnsi="宋体" w:eastAsia="宋体"/>
                <w:sz w:val="18"/>
              </w:rPr>
              <w:t>接口与数据层</w:t>
            </w:r>
          </w:p>
        </w:tc>
        <w:tc>
          <w:tcPr>
            <w:tcW w:type="dxa" w:w="3120"/>
            <w:vAlign w:val="center"/>
          </w:tcPr>
          <w:p>
            <w:pPr>
              <w:spacing w:after="0"/>
            </w:pPr>
            <w:r>
              <w:rPr>
                <w:rFonts w:ascii="宋体" w:hAnsi="宋体" w:eastAsia="宋体"/>
                <w:sz w:val="18"/>
              </w:rPr>
              <w:t>server.py、db.py、ml.py、wsgi.py、bootstrap_admin.py</w:t>
            </w:r>
          </w:p>
        </w:tc>
        <w:tc>
          <w:tcPr>
            <w:tcW w:type="dxa" w:w="3120"/>
            <w:vAlign w:val="center"/>
          </w:tcPr>
          <w:p>
            <w:pPr>
              <w:spacing w:after="0"/>
            </w:pPr>
            <w:r>
              <w:rPr>
                <w:rFonts w:ascii="宋体" w:hAnsi="宋体" w:eastAsia="宋体"/>
                <w:sz w:val="18"/>
              </w:rPr>
              <w:t>965</w:t>
            </w:r>
          </w:p>
        </w:tc>
      </w:tr>
      <w:tr>
        <w:tc>
          <w:tcPr>
            <w:tcW w:type="dxa" w:w="3120"/>
            <w:vAlign w:val="center"/>
          </w:tcPr>
          <w:p>
            <w:pPr>
              <w:spacing w:after="0"/>
            </w:pPr>
            <w:r>
              <w:rPr>
                <w:rFonts w:ascii="宋体" w:hAnsi="宋体" w:eastAsia="宋体"/>
                <w:sz w:val="18"/>
              </w:rPr>
              <w:t>前端</w:t>
            </w:r>
          </w:p>
        </w:tc>
        <w:tc>
          <w:tcPr>
            <w:tcW w:type="dxa" w:w="3120"/>
            <w:vAlign w:val="center"/>
          </w:tcPr>
          <w:p>
            <w:pPr>
              <w:spacing w:after="0"/>
            </w:pPr>
            <w:r>
              <w:rPr>
                <w:rFonts w:ascii="宋体" w:hAnsi="宋体" w:eastAsia="宋体"/>
                <w:sz w:val="18"/>
              </w:rPr>
              <w:t>templates/index.html、static/app.js</w:t>
            </w:r>
          </w:p>
        </w:tc>
        <w:tc>
          <w:tcPr>
            <w:tcW w:type="dxa" w:w="3120"/>
            <w:vAlign w:val="center"/>
          </w:tcPr>
          <w:p>
            <w:pPr>
              <w:spacing w:after="0"/>
            </w:pPr>
            <w:r>
              <w:rPr>
                <w:rFonts w:ascii="宋体" w:hAnsi="宋体" w:eastAsia="宋体"/>
                <w:sz w:val="18"/>
              </w:rPr>
              <w:t>2 563</w:t>
            </w:r>
          </w:p>
        </w:tc>
      </w:tr>
      <w:tr>
        <w:tc>
          <w:tcPr>
            <w:tcW w:type="dxa" w:w="3120"/>
            <w:vAlign w:val="center"/>
          </w:tcPr>
          <w:p>
            <w:pPr>
              <w:spacing w:after="0"/>
            </w:pPr>
            <w:r>
              <w:rPr>
                <w:rFonts w:ascii="宋体" w:hAnsi="宋体" w:eastAsia="宋体"/>
                <w:sz w:val="18"/>
              </w:rPr>
              <w:t>合计</w:t>
            </w:r>
          </w:p>
        </w:tc>
        <w:tc>
          <w:tcPr>
            <w:tcW w:type="dxa" w:w="3120"/>
            <w:vAlign w:val="center"/>
          </w:tcPr>
          <w:p>
            <w:pPr>
              <w:spacing w:after="0"/>
            </w:pPr>
            <w:r>
              <w:rPr>
                <w:rFonts w:ascii="宋体" w:hAnsi="宋体" w:eastAsia="宋体"/>
                <w:sz w:val="18"/>
              </w:rPr>
            </w:r>
          </w:p>
        </w:tc>
        <w:tc>
          <w:tcPr>
            <w:tcW w:type="dxa" w:w="3120"/>
            <w:vAlign w:val="center"/>
          </w:tcPr>
          <w:p>
            <w:pPr>
              <w:spacing w:after="0"/>
            </w:pPr>
            <w:r>
              <w:rPr>
                <w:rFonts w:ascii="宋体" w:hAnsi="宋体" w:eastAsia="宋体"/>
                <w:sz w:val="18"/>
              </w:rPr>
              <w:t>5 861</w:t>
            </w:r>
          </w:p>
        </w:tc>
      </w:tr>
    </w:tbl>
    <w:p>
      <w:r>
        <w:t>行数为文件物理行，含空行与注释，不含 README、依赖清单和样式表。源程序 Word 在每个文件前另加一行文件名注释，因此清单总行数多于 5 861。</w:t>
      </w:r>
    </w:p>
    <w:p>
      <w:pPr>
        <w:pStyle w:val="Heading2"/>
      </w:pPr>
      <w:r>
        <w:t>11. 操作说明</w:t>
      </w:r>
    </w:p>
    <w:p>
      <w:r>
        <w:t>页面自上而下为 00～09 十个面板。建议先登录并选定项目，再按面板编号操作。按钮名称与页面一致。</w:t>
      </w:r>
    </w:p>
    <w:p>
      <w:pPr>
        <w:pStyle w:val="Heading3"/>
      </w:pPr>
      <w:r>
        <w:t>11.1 启动</w:t>
      </w:r>
    </w:p>
    <w:p>
      <w:r>
        <w:t>在项目目录执行 python3 backend/server.py，浏览器打开 http://127.0.0.1:9000。页顶状态为“后端在线”时，全部面板可用。状态为“离线机理模式”时，后端没有连上，参数录入、纯机理预测、单参数曲线和基于本地样本的图表仍可使用；交叉验证、Morris、配比优化、模型历史和报告生成会提示需要后端。</w:t>
      </w:r>
    </w:p>
    <w:p>
      <w:r>
        <w:t>页顶三个按钮：</w:t>
      </w:r>
    </w:p>
    <w:p>
      <w:pPr>
        <w:pStyle w:val="ListBullet"/>
      </w:pPr>
      <w:r>
        <w:t>**载入示范数据**：写入 4 个方案和 48 条示范样本。</w:t>
      </w:r>
    </w:p>
    <w:p>
      <w:pPr>
        <w:pStyle w:val="ListBullet"/>
      </w:pPr>
      <w:r>
        <w:t>**训练并交叉验证**：用当前项目样本训练三种残差模型并做交叉验证，完成后刷新评估面板。</w:t>
      </w:r>
    </w:p>
    <w:p>
      <w:pPr>
        <w:pStyle w:val="ListBullet"/>
      </w:pPr>
      <w:r>
        <w:t>**生成分析报告**：滚到报告面板并生成预览。</w:t>
      </w:r>
    </w:p>
    <w:p>
      <w:pPr>
        <w:spacing w:before="120" w:after="40"/>
        <w:jc w:val="center"/>
      </w:pPr>
      <w:r>
        <w:drawing>
          <wp:inline xmlns:a="http://schemas.openxmlformats.org/drawingml/2006/main" xmlns:pic="http://schemas.openxmlformats.org/drawingml/2006/picture">
            <wp:extent cx="5580000" cy="3757682"/>
            <wp:docPr id="6" name="Picture 6"/>
            <wp:cNvGraphicFramePr>
              <a:graphicFrameLocks noChangeAspect="1"/>
            </wp:cNvGraphicFramePr>
            <a:graphic>
              <a:graphicData uri="http://schemas.openxmlformats.org/drawingml/2006/picture">
                <pic:pic>
                  <pic:nvPicPr>
                    <pic:cNvPr id="0" name="01-系统首页.png"/>
                    <pic:cNvPicPr/>
                  </pic:nvPicPr>
                  <pic:blipFill>
                    <a:blip r:embed="rId16"/>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 系统首页与页顶状态</w:t>
      </w:r>
    </w:p>
    <w:p>
      <w:pPr>
        <w:pStyle w:val="Heading3"/>
      </w:pPr>
      <w:r>
        <w:t>11.2 面板 00 账户与项目</w:t>
      </w:r>
    </w:p>
    <w:p>
      <w:pPr>
        <w:pStyle w:val="ListNumber"/>
      </w:pPr>
      <w:r>
        <w:t>填写用户名和密码（至少 6 位），先点 **注册**，再点 **登录**。</w:t>
      </w:r>
    </w:p>
    <w:p>
      <w:pPr>
        <w:pStyle w:val="ListNumber"/>
      </w:pPr>
      <w:r>
        <w:t>填写项目名称和说明，点 **创建项目**。</w:t>
      </w:r>
    </w:p>
    <w:p>
      <w:pPr>
        <w:pStyle w:val="ListNumber"/>
      </w:pPr>
      <w:r>
        <w:t>在“当前项目”中切换项目。方案、样本和模型按项目分开存放。</w:t>
      </w:r>
    </w:p>
    <w:p>
      <w:pPr>
        <w:pStyle w:val="ListNumber"/>
      </w:pPr>
      <w:r>
        <w:t>未登录时，操作都落在公共的“默认项目”。点 **退出** 清除登录状态。</w:t>
      </w:r>
    </w:p>
    <w:p>
      <w:pPr>
        <w:spacing w:before="120" w:after="40"/>
        <w:jc w:val="center"/>
      </w:pPr>
      <w:r>
        <w:drawing>
          <wp:inline xmlns:a="http://schemas.openxmlformats.org/drawingml/2006/main" xmlns:pic="http://schemas.openxmlformats.org/drawingml/2006/picture">
            <wp:extent cx="5580000" cy="3757682"/>
            <wp:docPr id="7" name="Picture 7"/>
            <wp:cNvGraphicFramePr>
              <a:graphicFrameLocks noChangeAspect="1"/>
            </wp:cNvGraphicFramePr>
            <a:graphic>
              <a:graphicData uri="http://schemas.openxmlformats.org/drawingml/2006/picture">
                <pic:pic>
                  <pic:nvPicPr>
                    <pic:cNvPr id="0" name="02-账户登录与项目空间.png"/>
                    <pic:cNvPicPr/>
                  </pic:nvPicPr>
                  <pic:blipFill>
                    <a:blip r:embed="rId17"/>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11-2 账户登录与项目空间</w:t>
      </w:r>
    </w:p>
    <w:p>
      <w:pPr>
        <w:pStyle w:val="Heading3"/>
      </w:pPr>
      <w:r>
        <w:t>11.3 面板 01 试验参数管理</w:t>
      </w:r>
    </w:p>
    <w:p>
      <w:r>
        <w:t>8 个输入框旁标有单位和允许区间。填完后写方案名称，然后：</w:t>
      </w:r>
    </w:p>
    <w:p>
      <w:pPr>
        <w:pStyle w:val="ListBullet"/>
      </w:pPr>
      <w:r>
        <w:t>**保存方案**：区间和字段检查通过后写入当前项目，并出现在预测面板的方案列表里。不通过时，下方表格列出字段和原因。</w:t>
      </w:r>
    </w:p>
    <w:p>
      <w:pPr>
        <w:pStyle w:val="ListBullet"/>
      </w:pPr>
      <w:r>
        <w:t>**保存模板**：把当前 8 项参数存在本机浏览器，供以后回填。</w:t>
      </w:r>
    </w:p>
    <w:p>
      <w:pPr>
        <w:pStyle w:val="ListBullet"/>
      </w:pPr>
      <w:r>
        <w:t>**导出参数表**：下载当前项目全部方案的 CSV。</w:t>
      </w:r>
    </w:p>
    <w:p>
      <w:pPr>
        <w:spacing w:before="120" w:after="40"/>
        <w:jc w:val="center"/>
      </w:pPr>
      <w:r>
        <w:drawing>
          <wp:inline xmlns:a="http://schemas.openxmlformats.org/drawingml/2006/main" xmlns:pic="http://schemas.openxmlformats.org/drawingml/2006/picture">
            <wp:extent cx="5580000" cy="3757682"/>
            <wp:docPr id="8" name="Picture 8"/>
            <wp:cNvGraphicFramePr>
              <a:graphicFrameLocks noChangeAspect="1"/>
            </wp:cNvGraphicFramePr>
            <a:graphic>
              <a:graphicData uri="http://schemas.openxmlformats.org/drawingml/2006/picture">
                <pic:pic>
                  <pic:nvPicPr>
                    <pic:cNvPr id="0" name="03-试验参数录入.png"/>
                    <pic:cNvPicPr/>
                  </pic:nvPicPr>
                  <pic:blipFill>
                    <a:blip r:embed="rId18"/>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11-3 单组试验参数录入</w:t>
      </w:r>
    </w:p>
    <w:p>
      <w:r>
        <w:t>批量导入时，点“导入批量参数 CSV”。首行是表头，英文键名和中文名可以混用，例如 方案名称,干密度,纤维掺量,菌液用量,OD值,温度,胶结液浓度,胶结液用量,固化次数。合格行入库；超出区间或缺少字段的行以橙色列出原因；固化后干密度低于初始干密度这类一致性问题以黄色警告，该行仍然接受。</w:t>
      </w:r>
    </w:p>
    <w:p>
      <w:r>
        <w:t>在“已存模板”中选一项，点 **应用模板**，参数回填到表单。</w:t>
      </w:r>
    </w:p>
    <w:p>
      <w:pPr>
        <w:spacing w:before="120" w:after="40"/>
        <w:jc w:val="center"/>
      </w:pPr>
      <w:r>
        <w:drawing>
          <wp:inline xmlns:a="http://schemas.openxmlformats.org/drawingml/2006/main" xmlns:pic="http://schemas.openxmlformats.org/drawingml/2006/picture">
            <wp:extent cx="5580000" cy="3757682"/>
            <wp:docPr id="9" name="Picture 9"/>
            <wp:cNvGraphicFramePr>
              <a:graphicFrameLocks noChangeAspect="1"/>
            </wp:cNvGraphicFramePr>
            <a:graphic>
              <a:graphicData uri="http://schemas.openxmlformats.org/drawingml/2006/picture">
                <pic:pic>
                  <pic:nvPicPr>
                    <pic:cNvPr id="0" name="04-CSV导入与逐行校验.png"/>
                    <pic:cNvPicPr/>
                  </pic:nvPicPr>
                  <pic:blipFill>
                    <a:blip r:embed="rId19"/>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11-4 CSV 导入后的逐行校验</w:t>
      </w:r>
    </w:p>
    <w:p>
      <w:pPr>
        <w:pStyle w:val="Heading3"/>
      </w:pPr>
      <w:r>
        <w:t>11.4 面板 02 固化性能预测</w:t>
      </w:r>
    </w:p>
    <w:p>
      <w:pPr>
        <w:pStyle w:val="ListNumber"/>
      </w:pPr>
      <w:r>
        <w:t>在“选择方案”中选定当前项目的一个方案。</w:t>
      </w:r>
    </w:p>
    <w:p>
      <w:pPr>
        <w:pStyle w:val="ListNumber"/>
      </w:pPr>
      <w:r>
        <w:t>在“模型”中选随机森林残差模型、梯度提升残差模型、BP 神经网络残差模型或纯机理模型。前三种需要该项目至少 8 条样本并已训练；样本不够或尚未训练时，结果会标明已回退到纯机理模型。</w:t>
      </w:r>
    </w:p>
    <w:p>
      <w:pPr>
        <w:pStyle w:val="ListNumber"/>
      </w:pPr>
      <w:r>
        <w:t>点 **执行预测**。右侧给出 7 项指标、分解表（机理基线、数据修正、最终预测）、五段机理解释，以及 8 个参数的 OAT 重要度。数据修正为正时用绿色，为负时用橙色。</w:t>
      </w:r>
    </w:p>
    <w:p>
      <w:pPr>
        <w:spacing w:before="120" w:after="40"/>
        <w:jc w:val="center"/>
      </w:pPr>
      <w:r>
        <w:drawing>
          <wp:inline xmlns:a="http://schemas.openxmlformats.org/drawingml/2006/main" xmlns:pic="http://schemas.openxmlformats.org/drawingml/2006/picture">
            <wp:extent cx="5580000" cy="3757682"/>
            <wp:docPr id="10" name="Picture 10"/>
            <wp:cNvGraphicFramePr>
              <a:graphicFrameLocks noChangeAspect="1"/>
            </wp:cNvGraphicFramePr>
            <a:graphic>
              <a:graphicData uri="http://schemas.openxmlformats.org/drawingml/2006/picture">
                <pic:pic>
                  <pic:nvPicPr>
                    <pic:cNvPr id="0" name="05-性能预测与机理解释.png"/>
                    <pic:cNvPicPr/>
                  </pic:nvPicPr>
                  <pic:blipFill>
                    <a:blip r:embed="rId20"/>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11-5 预测结果、分解表与机理解释</w:t>
      </w:r>
    </w:p>
    <w:p>
      <w:pPr>
        <w:pStyle w:val="ListNumber"/>
      </w:pPr>
      <w:r>
        <w:t>点 **方案综合评分**。当前项目里的方案按默认权重排序，表中列出得分、UCS、崩解率和相对成本，得分最高的一行高亮。</w:t>
      </w:r>
    </w:p>
    <w:p>
      <w:pPr>
        <w:spacing w:before="120" w:after="40"/>
        <w:jc w:val="center"/>
      </w:pPr>
      <w:r>
        <w:drawing>
          <wp:inline xmlns:a="http://schemas.openxmlformats.org/drawingml/2006/main" xmlns:pic="http://schemas.openxmlformats.org/drawingml/2006/picture">
            <wp:extent cx="5580000" cy="3757682"/>
            <wp:docPr id="11" name="Picture 11"/>
            <wp:cNvGraphicFramePr>
              <a:graphicFrameLocks noChangeAspect="1"/>
            </wp:cNvGraphicFramePr>
            <a:graphic>
              <a:graphicData uri="http://schemas.openxmlformats.org/drawingml/2006/picture">
                <pic:pic>
                  <pic:nvPicPr>
                    <pic:cNvPr id="0" name="06-参数敏感性与方案综合排序.png"/>
                    <pic:cNvPicPr/>
                  </pic:nvPicPr>
                  <pic:blipFill>
                    <a:blip r:embed="rId21"/>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11-6 参数重要度与方案综合排序</w:t>
      </w:r>
    </w:p>
    <w:p>
      <w:pPr>
        <w:pStyle w:val="Heading3"/>
      </w:pPr>
      <w:r>
        <w:t>11.5 面板 03 模型训练与评估</w:t>
      </w:r>
    </w:p>
    <w:p>
      <w:pPr>
        <w:pStyle w:val="ListBullet"/>
      </w:pPr>
      <w:r>
        <w:t>**仅评估（不落库）**：只做交叉验证，不保存模型。</w:t>
      </w:r>
    </w:p>
    <w:p>
      <w:pPr>
        <w:pStyle w:val="ListBullet"/>
      </w:pPr>
      <w:r>
        <w:t>**训练并保存模型**：交叉验证后用全部样本再训练一次并写入数据库，版本号加 1。</w:t>
      </w:r>
    </w:p>
    <w:p>
      <w:r>
        <w:t>结果表按学习器列出折数、验证 R²、验证 RMSE、MAPE、训练 R² 和机理基线 R²。验证综合 R² 最高的一行加粗。表下是该学习器逐指标的验证误差。右侧“模型版本历史”列出每次保存的模型名、版本、样本数、交叉验证 R² 和时间。</w:t>
      </w:r>
    </w:p>
    <w:p>
      <w:r>
        <w:t>折数：8～14 条为 3 折，15～59 条为 5 折，60 条及以上为 10 折。少于 8 条时不评估。</w:t>
      </w:r>
    </w:p>
    <w:p>
      <w:pPr>
        <w:spacing w:before="120" w:after="40"/>
        <w:jc w:val="center"/>
      </w:pPr>
      <w:r>
        <w:drawing>
          <wp:inline xmlns:a="http://schemas.openxmlformats.org/drawingml/2006/main" xmlns:pic="http://schemas.openxmlformats.org/drawingml/2006/picture">
            <wp:extent cx="5580000" cy="3757682"/>
            <wp:docPr id="12" name="Picture 12"/>
            <wp:cNvGraphicFramePr>
              <a:graphicFrameLocks noChangeAspect="1"/>
            </wp:cNvGraphicFramePr>
            <a:graphic>
              <a:graphicData uri="http://schemas.openxmlformats.org/drawingml/2006/picture">
                <pic:pic>
                  <pic:nvPicPr>
                    <pic:cNvPr id="0" name="07-模型训练与交叉验证.png"/>
                    <pic:cNvPicPr/>
                  </pic:nvPicPr>
                  <pic:blipFill>
                    <a:blip r:embed="rId22"/>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11-7 交叉验证结果与模型版本历史</w:t>
      </w:r>
    </w:p>
    <w:p>
      <w:pPr>
        <w:pStyle w:val="Heading3"/>
      </w:pPr>
      <w:r>
        <w:t>11.6 面板 04 敏感性深入分析</w:t>
      </w:r>
    </w:p>
    <w:p>
      <w:r>
        <w:t>单参数曲线：选择扫描参数和响应指标，点 **绘制偏依赖曲线**。其余参数固定为当前方案，该参数在允许区间内取 15 个点。图上的点标出当前方案所在位置。</w:t>
      </w:r>
    </w:p>
    <w:p>
      <w:r>
        <w:t>Morris：轨迹数填 4～60，默认 12。查看指标可选“综合”或单独一项。点 **执行 Morris 分析**。表中 μ* 大的参数主效应强，σ 大表示非线性或与其他参数有交互；σ/μ* 大于 1 的格子为橙色。综合视图下 μ 列显示为“—”，因为七项指标的有符号效应不直接相加。</w:t>
      </w:r>
    </w:p>
    <w:p>
      <w:pPr>
        <w:spacing w:before="120" w:after="40"/>
        <w:jc w:val="center"/>
      </w:pPr>
      <w:r>
        <w:drawing>
          <wp:inline xmlns:a="http://schemas.openxmlformats.org/drawingml/2006/main" xmlns:pic="http://schemas.openxmlformats.org/drawingml/2006/picture">
            <wp:extent cx="5580000" cy="3757682"/>
            <wp:docPr id="13" name="Picture 13"/>
            <wp:cNvGraphicFramePr>
              <a:graphicFrameLocks noChangeAspect="1"/>
            </wp:cNvGraphicFramePr>
            <a:graphic>
              <a:graphicData uri="http://schemas.openxmlformats.org/drawingml/2006/picture">
                <pic:pic>
                  <pic:nvPicPr>
                    <pic:cNvPr id="0" name="08-偏依赖曲线与Morris分析.png"/>
                    <pic:cNvPicPr/>
                  </pic:nvPicPr>
                  <pic:blipFill>
                    <a:blip r:embed="rId23"/>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11-8 偏依赖曲线与 Morris 结果</w:t>
      </w:r>
    </w:p>
    <w:p>
      <w:pPr>
        <w:pStyle w:val="Heading3"/>
      </w:pPr>
      <w:r>
        <w:t>11.7 面板 05 多目标配比优化</w:t>
      </w:r>
    </w:p>
    <w:p>
      <w:pPr>
        <w:pStyle w:val="ListNumber"/>
      </w:pPr>
      <w:r>
        <w:t>拖动 7 个权重滑块。滑块数值会自动归一化。默认是 UCS 30、崩解率 15、渗透系数 10、碳酸钙含量 10、黏聚力 5、内摩擦角 5、相对成本 25。</w:t>
      </w:r>
    </w:p>
    <w:p>
      <w:pPr>
        <w:pStyle w:val="ListNumber"/>
      </w:pPr>
      <w:r>
        <w:t>“限定在历史样本参数包络内”默认勾选。取消后，搜索范围扩大到数据字典的全区间，预测可能落到样本没有覆盖的参数上。</w:t>
      </w:r>
    </w:p>
    <w:p>
      <w:pPr>
        <w:pStyle w:val="ListNumber"/>
      </w:pPr>
      <w:r>
        <w:t>点 **执行配比优化**。右侧为推荐配比表和 UCS–相对成本图：蓝点是候选配比，橙线是非支配前沿，绿圈是当前权重下得分最高的点。</w:t>
      </w:r>
    </w:p>
    <w:p>
      <w:pPr>
        <w:spacing w:before="120" w:after="40"/>
        <w:jc w:val="center"/>
      </w:pPr>
      <w:r>
        <w:drawing>
          <wp:inline xmlns:a="http://schemas.openxmlformats.org/drawingml/2006/main" xmlns:pic="http://schemas.openxmlformats.org/drawingml/2006/picture">
            <wp:extent cx="5580000" cy="3757682"/>
            <wp:docPr id="14" name="Picture 14"/>
            <wp:cNvGraphicFramePr>
              <a:graphicFrameLocks noChangeAspect="1"/>
            </wp:cNvGraphicFramePr>
            <a:graphic>
              <a:graphicData uri="http://schemas.openxmlformats.org/drawingml/2006/picture">
                <pic:pic>
                  <pic:nvPicPr>
                    <pic:cNvPr id="0" name="09-多目标配比优化.png"/>
                    <pic:cNvPicPr/>
                  </pic:nvPicPr>
                  <pic:blipFill>
                    <a:blip r:embed="rId24"/>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11-9 权重设置、推荐配比与 Pareto 前沿</w:t>
      </w:r>
    </w:p>
    <w:p>
      <w:pPr>
        <w:pStyle w:val="Heading3"/>
      </w:pPr>
      <w:r>
        <w:t>11.8 面板 06 试验数据处理</w:t>
      </w:r>
    </w:p>
    <w:p>
      <w:pPr>
        <w:pStyle w:val="ListBullet"/>
      </w:pPr>
      <w:r>
        <w:t>**导入历史试验数据**：CSV 同时包含 8 项参数和 7 项指标。不合格行列出后跳过。</w:t>
      </w:r>
    </w:p>
    <w:p>
      <w:pPr>
        <w:pStyle w:val="ListBullet"/>
      </w:pPr>
      <w:r>
        <w:t>**导出历史样本**：下载当前项目样本。</w:t>
      </w:r>
    </w:p>
    <w:p>
      <w:pPr>
        <w:pStyle w:val="ListBullet"/>
      </w:pPr>
      <w:r>
        <w:t>**恢复示范样本**：重新写入 48 条内置样本。</w:t>
      </w:r>
    </w:p>
    <w:p>
      <w:pPr>
        <w:spacing w:before="120" w:after="40"/>
        <w:jc w:val="center"/>
      </w:pPr>
      <w:r>
        <w:drawing>
          <wp:inline xmlns:a="http://schemas.openxmlformats.org/drawingml/2006/main" xmlns:pic="http://schemas.openxmlformats.org/drawingml/2006/picture">
            <wp:extent cx="5580000" cy="3757682"/>
            <wp:docPr id="15" name="Picture 15"/>
            <wp:cNvGraphicFramePr>
              <a:graphicFrameLocks noChangeAspect="1"/>
            </wp:cNvGraphicFramePr>
            <a:graphic>
              <a:graphicData uri="http://schemas.openxmlformats.org/drawingml/2006/picture">
                <pic:pic>
                  <pic:nvPicPr>
                    <pic:cNvPr id="0" name="10-历史样本与统计分析.png"/>
                    <pic:cNvPicPr/>
                  </pic:nvPicPr>
                  <pic:blipFill>
                    <a:blip r:embed="rId25"/>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11-10 历史样本与描述统计</w:t>
      </w:r>
    </w:p>
    <w:p>
      <w:r>
        <w:t>统计分析：选择方差分析因素和响应指标，点 **执行统计分析**。页面给出异常值明细（样本号、IQR 或 Grubbs、界限和数值）、7 项指标的均值、标准差和变异系数、按因素水平从小到大排列的分组表，以及 F、自由度、p 和 η²。p 小于 0.0001 时写成“&lt;0.0001”。同一结果里还有 UCS 与碳酸钙含量的线性式和幂函数式。</w:t>
      </w:r>
    </w:p>
    <w:p>
      <w:pPr>
        <w:spacing w:before="120" w:after="40"/>
        <w:jc w:val="center"/>
      </w:pPr>
      <w:r>
        <w:drawing>
          <wp:inline xmlns:a="http://schemas.openxmlformats.org/drawingml/2006/main" xmlns:pic="http://schemas.openxmlformats.org/drawingml/2006/picture">
            <wp:extent cx="5580000" cy="3757682"/>
            <wp:docPr id="16" name="Picture 16"/>
            <wp:cNvGraphicFramePr>
              <a:graphicFrameLocks noChangeAspect="1"/>
            </wp:cNvGraphicFramePr>
            <a:graphic>
              <a:graphicData uri="http://schemas.openxmlformats.org/drawingml/2006/picture">
                <pic:pic>
                  <pic:nvPicPr>
                    <pic:cNvPr id="0" name="11-异常值检测与方差分析.png"/>
                    <pic:cNvPicPr/>
                  </pic:nvPicPr>
                  <pic:blipFill>
                    <a:blip r:embed="rId26"/>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11-11 异常值检测与方差分析结论</w:t>
      </w:r>
    </w:p>
    <w:p>
      <w:pPr>
        <w:spacing w:before="120" w:after="40"/>
        <w:jc w:val="center"/>
      </w:pPr>
      <w:r>
        <w:drawing>
          <wp:inline xmlns:a="http://schemas.openxmlformats.org/drawingml/2006/main" xmlns:pic="http://schemas.openxmlformats.org/drawingml/2006/picture">
            <wp:extent cx="5580000" cy="3757682"/>
            <wp:docPr id="17" name="Picture 17"/>
            <wp:cNvGraphicFramePr>
              <a:graphicFrameLocks noChangeAspect="1"/>
            </wp:cNvGraphicFramePr>
            <a:graphic>
              <a:graphicData uri="http://schemas.openxmlformats.org/drawingml/2006/picture">
                <pic:pic>
                  <pic:nvPicPr>
                    <pic:cNvPr id="0" name="18-方差分析分组表与UCS-CaCO3回归.png"/>
                    <pic:cNvPicPr/>
                  </pic:nvPicPr>
                  <pic:blipFill>
                    <a:blip r:embed="rId27"/>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11-12 分组均值与 UCS–碳酸钙回归</w:t>
      </w:r>
    </w:p>
    <w:p>
      <w:pPr>
        <w:pStyle w:val="Heading3"/>
      </w:pPr>
      <w:r>
        <w:t>11.9 面板 07 相关性分析</w:t>
      </w:r>
    </w:p>
    <w:p>
      <w:r>
        <w:t>点 **计算相关矩阵**。图为 15×15 的 Pearson 矩阵，绿色为正、橙色为负，颜色深浅对应 |r|。右侧表列出 |r| 较大且 p &lt; 0.05 的参数–指标对；p 小于 0.001 时写成“&lt;0.001”。</w:t>
      </w:r>
    </w:p>
    <w:p>
      <w:pPr>
        <w:spacing w:before="120" w:after="40"/>
        <w:jc w:val="center"/>
      </w:pPr>
      <w:r>
        <w:drawing>
          <wp:inline xmlns:a="http://schemas.openxmlformats.org/drawingml/2006/main" xmlns:pic="http://schemas.openxmlformats.org/drawingml/2006/picture">
            <wp:extent cx="5580000" cy="3757682"/>
            <wp:docPr id="18" name="Picture 18"/>
            <wp:cNvGraphicFramePr>
              <a:graphicFrameLocks noChangeAspect="1"/>
            </wp:cNvGraphicFramePr>
            <a:graphic>
              <a:graphicData uri="http://schemas.openxmlformats.org/drawingml/2006/picture">
                <pic:pic>
                  <pic:nvPicPr>
                    <pic:cNvPr id="0" name="12-相关性矩阵.png"/>
                    <pic:cNvPicPr/>
                  </pic:nvPicPr>
                  <pic:blipFill>
                    <a:blip r:embed="rId28"/>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11-13 Pearson 相关矩阵与显著相关对</w:t>
      </w:r>
    </w:p>
    <w:p>
      <w:pPr>
        <w:pStyle w:val="Heading3"/>
      </w:pPr>
      <w:r>
        <w:t>11.10 面板 08 可视化</w:t>
      </w:r>
    </w:p>
    <w:p>
      <w:r>
        <w:t>选择 X 轴参数、Y 轴指标和图表类型（参数-性能趋势、分组柱状图、箱线图、热力图），点 **更新图表**。图用的是当前项目的历史样本。</w:t>
      </w:r>
    </w:p>
    <w:p>
      <w:pPr>
        <w:spacing w:before="120" w:after="40"/>
        <w:jc w:val="center"/>
      </w:pPr>
      <w:r>
        <w:drawing>
          <wp:inline xmlns:a="http://schemas.openxmlformats.org/drawingml/2006/main" xmlns:pic="http://schemas.openxmlformats.org/drawingml/2006/picture">
            <wp:extent cx="5580000" cy="3757682"/>
            <wp:docPr id="19" name="Picture 19"/>
            <wp:cNvGraphicFramePr>
              <a:graphicFrameLocks noChangeAspect="1"/>
            </wp:cNvGraphicFramePr>
            <a:graphic>
              <a:graphicData uri="http://schemas.openxmlformats.org/drawingml/2006/picture">
                <pic:pic>
                  <pic:nvPicPr>
                    <pic:cNvPr id="0" name="13-参数性能趋势图.png"/>
                    <pic:cNvPicPr/>
                  </pic:nvPicPr>
                  <pic:blipFill>
                    <a:blip r:embed="rId29"/>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11-14 参数–性能趋势</w:t>
      </w:r>
    </w:p>
    <w:p>
      <w:pPr>
        <w:spacing w:before="120" w:after="40"/>
        <w:jc w:val="center"/>
      </w:pPr>
      <w:r>
        <w:drawing>
          <wp:inline xmlns:a="http://schemas.openxmlformats.org/drawingml/2006/main" xmlns:pic="http://schemas.openxmlformats.org/drawingml/2006/picture">
            <wp:extent cx="5580000" cy="3757682"/>
            <wp:docPr id="20" name="Picture 20"/>
            <wp:cNvGraphicFramePr>
              <a:graphicFrameLocks noChangeAspect="1"/>
            </wp:cNvGraphicFramePr>
            <a:graphic>
              <a:graphicData uri="http://schemas.openxmlformats.org/drawingml/2006/picture">
                <pic:pic>
                  <pic:nvPicPr>
                    <pic:cNvPr id="0" name="14-箱线图.png"/>
                    <pic:cNvPicPr/>
                  </pic:nvPicPr>
                  <pic:blipFill>
                    <a:blip r:embed="rId30"/>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11-15 分组箱线图</w:t>
      </w:r>
    </w:p>
    <w:p>
      <w:pPr>
        <w:spacing w:before="120" w:after="40"/>
        <w:jc w:val="center"/>
      </w:pPr>
      <w:r>
        <w:drawing>
          <wp:inline xmlns:a="http://schemas.openxmlformats.org/drawingml/2006/main" xmlns:pic="http://schemas.openxmlformats.org/drawingml/2006/picture">
            <wp:extent cx="5580000" cy="3757682"/>
            <wp:docPr id="21" name="Picture 21"/>
            <wp:cNvGraphicFramePr>
              <a:graphicFrameLocks noChangeAspect="1"/>
            </wp:cNvGraphicFramePr>
            <a:graphic>
              <a:graphicData uri="http://schemas.openxmlformats.org/drawingml/2006/picture">
                <pic:pic>
                  <pic:nvPicPr>
                    <pic:cNvPr id="0" name="15-交互热力图.png"/>
                    <pic:cNvPicPr/>
                  </pic:nvPicPr>
                  <pic:blipFill>
                    <a:blip r:embed="rId31"/>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11-16 双参数热力图</w:t>
      </w:r>
    </w:p>
    <w:p>
      <w:pPr>
        <w:pStyle w:val="Heading3"/>
      </w:pPr>
      <w:r>
        <w:t>11.11 面板 09 标准化报告</w:t>
      </w:r>
    </w:p>
    <w:p>
      <w:pPr>
        <w:pStyle w:val="ListNumber"/>
      </w:pPr>
      <w:r>
        <w:t>先在预测、统计或优化面板得到结果，再点 **刷新预览**。预览列出用户、项目、模型和生成时间，正文为八章 HTML，图是 SVG。</w:t>
      </w:r>
    </w:p>
    <w:p>
      <w:pPr>
        <w:pStyle w:val="ListNumber"/>
      </w:pPr>
      <w:r>
        <w:t>点 **导出报告** 下载 .doc。也可以在浏览器里把预览打印成 PDF。</w:t>
      </w:r>
    </w:p>
    <w:p>
      <w:r>
        <w:t>报告章节依次为方案参数、机理解释、预测分解、参数敏感性、模型评估、试验数据统计、配比优化与方案推荐、结论与建议。</w:t>
      </w:r>
    </w:p>
    <w:p>
      <w:pPr>
        <w:spacing w:before="120" w:after="40"/>
        <w:jc w:val="center"/>
      </w:pPr>
      <w:r>
        <w:drawing>
          <wp:inline xmlns:a="http://schemas.openxmlformats.org/drawingml/2006/main" xmlns:pic="http://schemas.openxmlformats.org/drawingml/2006/picture">
            <wp:extent cx="5580000" cy="3757682"/>
            <wp:docPr id="22" name="Picture 22"/>
            <wp:cNvGraphicFramePr>
              <a:graphicFrameLocks noChangeAspect="1"/>
            </wp:cNvGraphicFramePr>
            <a:graphic>
              <a:graphicData uri="http://schemas.openxmlformats.org/drawingml/2006/picture">
                <pic:pic>
                  <pic:nvPicPr>
                    <pic:cNvPr id="0" name="16-标准化报告预览.png"/>
                    <pic:cNvPicPr/>
                  </pic:nvPicPr>
                  <pic:blipFill>
                    <a:blip r:embed="rId32"/>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11-17 报告预览首页</w:t>
      </w:r>
    </w:p>
    <w:p>
      <w:pPr>
        <w:spacing w:before="120" w:after="40"/>
        <w:jc w:val="center"/>
      </w:pPr>
      <w:r>
        <w:drawing>
          <wp:inline xmlns:a="http://schemas.openxmlformats.org/drawingml/2006/main" xmlns:pic="http://schemas.openxmlformats.org/drawingml/2006/picture">
            <wp:extent cx="5580000" cy="3757682"/>
            <wp:docPr id="23" name="Picture 23"/>
            <wp:cNvGraphicFramePr>
              <a:graphicFrameLocks noChangeAspect="1"/>
            </wp:cNvGraphicFramePr>
            <a:graphic>
              <a:graphicData uri="http://schemas.openxmlformats.org/drawingml/2006/picture">
                <pic:pic>
                  <pic:nvPicPr>
                    <pic:cNvPr id="0" name="17-报告内嵌SVG图表.png"/>
                    <pic:cNvPicPr/>
                  </pic:nvPicPr>
                  <pic:blipFill>
                    <a:blip r:embed="rId33"/>
                    <a:stretch>
                      <a:fillRect/>
                    </a:stretch>
                  </pic:blipFill>
                  <pic:spPr>
                    <a:xfrm>
                      <a:off x="0" y="0"/>
                      <a:ext cx="5580000" cy="3757682"/>
                    </a:xfrm>
                    <a:prstGeom prst="rect"/>
                  </pic:spPr>
                </pic:pic>
              </a:graphicData>
            </a:graphic>
          </wp:inline>
        </w:drawing>
      </w:r>
    </w:p>
    <w:p>
      <w:pPr>
        <w:spacing w:before="0" w:after="160"/>
        <w:jc w:val="center"/>
      </w:pPr>
      <w:r>
        <w:rPr>
          <w:rFonts w:ascii="黑体" w:hAnsi="黑体" w:eastAsia="黑体"/>
          <w:b/>
          <w:sz w:val="21"/>
        </w:rPr>
        <w:t>图 11-18 报告中的敏感性图与模型评估表</w:t>
      </w:r>
    </w:p>
    <w:p>
      <w:pPr>
        <w:pStyle w:val="Heading3"/>
      </w:pPr>
      <w:r>
        <w:t>11.12 常见问题</w:t>
      </w:r>
    </w:p>
    <w:tbl>
      <w:tblPr>
        <w:tblStyle w:val="TableGrid"/>
        <w:tblW w:type="dxa" w:w="9360"/>
        <w:jc w:val="center"/>
        <w:tblLook w:firstColumn="1" w:firstRow="1" w:lastColumn="0" w:lastRow="0" w:noHBand="0" w:noVBand="1" w:val="04A0"/>
        <w:tblLayout w:type="fixed"/>
        <w:tblCellMar>
          <w:top w:w="80" w:type="dxa"/>
          <w:start w:w="120" w:type="dxa"/>
          <w:bottom w:w="80" w:type="dxa"/>
          <w:end w:w="120" w:type="dxa"/>
        </w:tblCellMar>
      </w:tblPr>
      <w:tblGrid>
        <w:gridCol w:w="4680"/>
        <w:gridCol w:w="4680"/>
      </w:tblGrid>
      <w:tr>
        <w:tc>
          <w:tcPr>
            <w:tcW w:type="dxa" w:w="4680"/>
            <w:shd w:fill="F2F4F7"/>
            <w:vAlign w:val="center"/>
          </w:tcPr>
          <w:p>
            <w:pPr>
              <w:spacing w:after="0"/>
            </w:pPr>
            <w:r>
              <w:rPr>
                <w:rFonts w:ascii="宋体" w:hAnsi="宋体" w:eastAsia="宋体"/>
                <w:sz w:val="18"/>
              </w:rPr>
              <w:t>现象</w:t>
            </w:r>
          </w:p>
        </w:tc>
        <w:tc>
          <w:tcPr>
            <w:tcW w:type="dxa" w:w="4680"/>
            <w:shd w:fill="F2F4F7"/>
            <w:vAlign w:val="center"/>
          </w:tcPr>
          <w:p>
            <w:pPr>
              <w:spacing w:after="0"/>
            </w:pPr>
            <w:r>
              <w:rPr>
                <w:rFonts w:ascii="宋体" w:hAnsi="宋体" w:eastAsia="宋体"/>
                <w:sz w:val="18"/>
              </w:rPr>
              <w:t>处理</w:t>
            </w:r>
          </w:p>
        </w:tc>
      </w:tr>
      <w:tr>
        <w:tc>
          <w:tcPr>
            <w:tcW w:type="dxa" w:w="4680"/>
            <w:vAlign w:val="center"/>
          </w:tcPr>
          <w:p>
            <w:pPr>
              <w:spacing w:after="0"/>
            </w:pPr>
            <w:r>
              <w:rPr>
                <w:rFonts w:ascii="宋体" w:hAnsi="宋体" w:eastAsia="宋体"/>
                <w:sz w:val="18"/>
              </w:rPr>
              <w:t>预测标明已回退到纯机理模型</w:t>
            </w:r>
          </w:p>
        </w:tc>
        <w:tc>
          <w:tcPr>
            <w:tcW w:type="dxa" w:w="4680"/>
            <w:vAlign w:val="center"/>
          </w:tcPr>
          <w:p>
            <w:pPr>
              <w:spacing w:after="0"/>
            </w:pPr>
            <w:r>
              <w:rPr>
                <w:rFonts w:ascii="宋体" w:hAnsi="宋体" w:eastAsia="宋体"/>
                <w:sz w:val="18"/>
              </w:rPr>
              <w:t>当前项目样本少于 8 条，或所选模型还没训练。导入样本后点“训练并交叉验证”</w:t>
            </w:r>
          </w:p>
        </w:tc>
      </w:tr>
      <w:tr>
        <w:tc>
          <w:tcPr>
            <w:tcW w:type="dxa" w:w="4680"/>
            <w:vAlign w:val="center"/>
          </w:tcPr>
          <w:p>
            <w:pPr>
              <w:spacing w:after="0"/>
            </w:pPr>
            <w:r>
              <w:rPr>
                <w:rFonts w:ascii="宋体" w:hAnsi="宋体" w:eastAsia="宋体"/>
                <w:sz w:val="18"/>
              </w:rPr>
              <w:t>导入后提示未识别的表头</w:t>
            </w:r>
          </w:p>
        </w:tc>
        <w:tc>
          <w:tcPr>
            <w:tcW w:type="dxa" w:w="4680"/>
            <w:vAlign w:val="center"/>
          </w:tcPr>
          <w:p>
            <w:pPr>
              <w:spacing w:after="0"/>
            </w:pPr>
            <w:r>
              <w:rPr>
                <w:rFonts w:ascii="宋体" w:hAnsi="宋体" w:eastAsia="宋体"/>
                <w:sz w:val="18"/>
              </w:rPr>
              <w:t>表头与第 4 章数据字典或接口 /api/dictionary 的别名不一致。可改用“干密度”“OD值”这类中文列名</w:t>
            </w:r>
          </w:p>
        </w:tc>
      </w:tr>
      <w:tr>
        <w:tc>
          <w:tcPr>
            <w:tcW w:type="dxa" w:w="4680"/>
            <w:vAlign w:val="center"/>
          </w:tcPr>
          <w:p>
            <w:pPr>
              <w:spacing w:after="0"/>
            </w:pPr>
            <w:r>
              <w:rPr>
                <w:rFonts w:ascii="宋体" w:hAnsi="宋体" w:eastAsia="宋体"/>
                <w:sz w:val="18"/>
              </w:rPr>
              <w:t>方差分析提示样本或分组数量不足</w:t>
            </w:r>
          </w:p>
        </w:tc>
        <w:tc>
          <w:tcPr>
            <w:tcW w:type="dxa" w:w="4680"/>
            <w:vAlign w:val="center"/>
          </w:tcPr>
          <w:p>
            <w:pPr>
              <w:spacing w:after="0"/>
            </w:pPr>
            <w:r>
              <w:rPr>
                <w:rFonts w:ascii="宋体" w:hAnsi="宋体" w:eastAsia="宋体"/>
                <w:sz w:val="18"/>
              </w:rPr>
              <w:t>该因素的取值太少，或有效样本少于两组。换一个因素，或补样本</w:t>
            </w:r>
          </w:p>
        </w:tc>
      </w:tr>
      <w:tr>
        <w:tc>
          <w:tcPr>
            <w:tcW w:type="dxa" w:w="4680"/>
            <w:vAlign w:val="center"/>
          </w:tcPr>
          <w:p>
            <w:pPr>
              <w:spacing w:after="0"/>
            </w:pPr>
            <w:r>
              <w:rPr>
                <w:rFonts w:ascii="宋体" w:hAnsi="宋体" w:eastAsia="宋体"/>
                <w:sz w:val="18"/>
              </w:rPr>
              <w:t>优化得到的 UCS 明显高于历史样本</w:t>
            </w:r>
          </w:p>
        </w:tc>
        <w:tc>
          <w:tcPr>
            <w:tcW w:type="dxa" w:w="4680"/>
            <w:vAlign w:val="center"/>
          </w:tcPr>
          <w:p>
            <w:pPr>
              <w:spacing w:after="0"/>
            </w:pPr>
            <w:r>
              <w:rPr>
                <w:rFonts w:ascii="宋体" w:hAnsi="宋体" w:eastAsia="宋体"/>
                <w:sz w:val="18"/>
              </w:rPr>
              <w:t>多半取消了样本包络限制。重新勾选后再算</w:t>
            </w:r>
          </w:p>
        </w:tc>
      </w:tr>
      <w:tr>
        <w:tc>
          <w:tcPr>
            <w:tcW w:type="dxa" w:w="4680"/>
            <w:vAlign w:val="center"/>
          </w:tcPr>
          <w:p>
            <w:pPr>
              <w:spacing w:after="0"/>
            </w:pPr>
            <w:r>
              <w:rPr>
                <w:rFonts w:ascii="宋体" w:hAnsi="宋体" w:eastAsia="宋体"/>
                <w:sz w:val="18"/>
              </w:rPr>
              <w:t>页顶为离线机理模式</w:t>
            </w:r>
          </w:p>
        </w:tc>
        <w:tc>
          <w:tcPr>
            <w:tcW w:type="dxa" w:w="4680"/>
            <w:vAlign w:val="center"/>
          </w:tcPr>
          <w:p>
            <w:pPr>
              <w:spacing w:after="0"/>
            </w:pPr>
            <w:r>
              <w:rPr>
                <w:rFonts w:ascii="宋体" w:hAnsi="宋体" w:eastAsia="宋体"/>
                <w:sz w:val="18"/>
              </w:rPr>
              <w:t>后端没启动，或 9000 端口被占用。启动 backend/server.py 后刷新</w:t>
            </w:r>
          </w:p>
        </w:tc>
      </w:tr>
      <w:tr>
        <w:tc>
          <w:tcPr>
            <w:tcW w:type="dxa" w:w="4680"/>
            <w:vAlign w:val="center"/>
          </w:tcPr>
          <w:p>
            <w:pPr>
              <w:spacing w:after="0"/>
            </w:pPr>
            <w:r>
              <w:rPr>
                <w:rFonts w:ascii="宋体" w:hAnsi="宋体" w:eastAsia="宋体"/>
                <w:sz w:val="18"/>
              </w:rPr>
              <w:t>登录后项目列表是空的</w:t>
            </w:r>
          </w:p>
        </w:tc>
        <w:tc>
          <w:tcPr>
            <w:tcW w:type="dxa" w:w="4680"/>
            <w:vAlign w:val="center"/>
          </w:tcPr>
          <w:p>
            <w:pPr>
              <w:spacing w:after="0"/>
            </w:pPr>
            <w:r>
              <w:rPr>
                <w:rFonts w:ascii="宋体" w:hAnsi="宋体" w:eastAsia="宋体"/>
                <w:sz w:val="18"/>
              </w:rPr>
              <w:t>点“创建项目”。未建项目时只能看到默认项目</w:t>
            </w:r>
          </w:p>
        </w:tc>
      </w:tr>
    </w:tbl>
    <w:p>
      <w:pPr>
        <w:pStyle w:val="Heading2"/>
      </w:pPr>
      <w:r>
        <w:t>12. 参考文献</w:t>
      </w:r>
    </w:p>
    <w:p>
      <w:r>
        <w:t>[1] DeJong J T, Fritzges M B, Nüsslein K. Microbially induced cementation to control sand response to undrained shear[J]. Journal of Geotechnical and Geoenvironmental Engineering, 2006, 132(11): 1381-1392.</w:t>
      </w:r>
    </w:p>
    <w:p>
      <w:r>
        <w:t>[2] Whiffin V S, van Paassen L A, Harkes M P. Microbial carbonate precipitation as a soil improvement technique[J]. Geomicrobiology Journal, 2007, 24(5): 417-423.</w:t>
      </w:r>
    </w:p>
    <w:p>
      <w:r>
        <w:t>[3] Al Qabany A, Soga K, Santamarina C. Factors affecting efficiency of microbially induced calcite precipitation[J]. Journal of Geotechnical and Geoenvironmental Engineering, 2012, 138(8): 992-1001.</w:t>
      </w:r>
    </w:p>
    <w:p>
      <w:r>
        <w:t>[4] Joga S P R, Mallikarjuna Rao K. Influence of shear strength parameters on loose fine sand treated with coir fiber and microbially induced calcite precipitation[J]. Discover Geoscience, 2024. DOI: 10.1007/s44288-024-00071-9.</w:t>
      </w:r>
    </w:p>
    <w:p>
      <w:r>
        <w:t>[5] Carman P C. Flow of gases through porous media[M]. London: Butterworths, 1956.</w:t>
      </w:r>
    </w:p>
    <w:p>
      <w:r>
        <w:t>[6] Carrier W D III. Goodbye, Hazen; Hello, Kozeny-Carman[J]. Journal of Geotechnical and Geoenvironmental Engineering, 2003, 129(11): 1054-1056.</w:t>
      </w:r>
    </w:p>
    <w:p>
      <w:r>
        <w:t>[7] Michaelis L, Menten M L. Die Kinetik der Invertinwirkung[J]. Biochemische Zeitschrift, 1913, 49: 333-369.</w:t>
      </w:r>
    </w:p>
    <w:p>
      <w:r>
        <w:t>[8] 中华人民共和国住房和城乡建设部. 土工试验方法标准: GB/T 50123—2019[S]. 北京: 中国计划出版社, 2019.</w:t>
      </w:r>
    </w:p>
    <w:p>
      <w:r>
        <w:t>[9] Morris M D. Factorial sampling plans for preliminary computational experiments[J]. Technometrics, 1991, 33(2): 161-174.</w:t>
      </w:r>
    </w:p>
    <w:p>
      <w:r>
        <w:t>[10] Campolongo F, Cariboni J, Saltelli A. An effective screening design for sensitivity analysis of large models[J]. Environmental Modelling &amp; Software, 2007, 22(10): 1509-1518.</w:t>
      </w:r>
    </w:p>
    <w:p>
      <w:r>
        <w:t>[11] McKay M D, Beckman R J, Conover W J. A comparison of three methods for selecting values of input variables in the analysis of output from a computer code[J]. Technometrics, 1979, 21(2): 239-245.</w:t>
      </w:r>
    </w:p>
    <w:p>
      <w:r>
        <w:t>[12] Friedman J H. Greedy function approximation: a gradient boosting machine[J]. The Annals of Statistics, 2001, 29(5): 1189-1232.</w:t>
      </w:r>
    </w:p>
    <w:p>
      <w:r>
        <w:t>[13] Breiman L. Random forests[J]. Machine Learning, 2001, 45(1): 5-32.</w:t>
      </w:r>
    </w:p>
    <w:p>
      <w:r>
        <w:t>[14] Grubbs F E. Procedures for detecting outlying observations in samples[J]. Technometrics, 1969, 11(1): 1-21.</w:t>
      </w:r>
    </w:p>
    <w:p>
      <w:r>
        <w:t>[15] Tukey J W. Exploratory data analysis[M]. Reading: Addison-Wesley, 1977.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98" w:val="right"/>
      </w:tabs>
      <w:jc w:val="left"/>
    </w:pPr>
    <w:r>
      <w:rPr>
        <w:rFonts w:ascii="宋体" w:hAnsi="宋体" w:eastAsia="宋体"/>
        <w:color w:val="505050"/>
        <w:sz w:val="18"/>
      </w:rPr>
      <w:t>MICP-椰壳纤维协同固化砂土性能分析与预测系统 V1.0</w:t>
    </w:r>
    <w:r>
      <w:tab/>
    </w:r>
    <w:r>
      <w:rPr>
        <w:rFonts w:ascii="宋体" w:hAnsi="宋体" w:eastAsia="宋体"/>
        <w:color w:val="505050"/>
        <w:sz w:val="18"/>
      </w:rPr>
      <w:fldChar w:fldCharType="begin"/>
    </w:r>
    <w:r>
      <w:rPr>
        <w:rFonts w:ascii="宋体" w:hAnsi="宋体" w:eastAsia="宋体"/>
        <w:color w:val="505050"/>
        <w:sz w:val="18"/>
      </w:rPr>
      <w:instrText xml:space="preserve"> PAGE </w:instrText>
    </w:r>
    <w:r>
      <w:rPr>
        <w:rFonts w:ascii="宋体" w:hAnsi="宋体" w:eastAsia="宋体"/>
        <w:color w:val="505050"/>
        <w:sz w:val="18"/>
      </w:rPr>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urier New" w:hAnsi="Courier New"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