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 w:line="324" w:lineRule="auto"/>
        <w:jc w:val="center"/>
      </w:pPr>
      <w:r>
        <w:rPr>
          <w:rFonts w:ascii="黑体" w:hAnsi="黑体" w:eastAsia="黑体"/>
          <w:b/>
          <w:color w:val="0F6A52"/>
          <w:sz w:val="28"/>
        </w:rPr>
        <w:t>软件著作权登记</w:t>
      </w:r>
    </w:p>
    <w:p>
      <w:pPr>
        <w:spacing w:before="0" w:after="160" w:line="324" w:lineRule="auto"/>
        <w:jc w:val="center"/>
      </w:pPr>
      <w:r>
        <w:rPr>
          <w:rFonts w:ascii="黑体" w:hAnsi="黑体" w:eastAsia="黑体"/>
          <w:b/>
          <w:color w:val="0B2545"/>
          <w:sz w:val="44"/>
        </w:rPr>
        <w:t>补正补充说明</w:t>
      </w:r>
    </w:p>
    <w:p>
      <w:pPr>
        <w:spacing w:before="0" w:after="40" w:line="324" w:lineRule="auto"/>
        <w:jc w:val="center"/>
      </w:pPr>
      <w:r>
        <w:rPr>
          <w:rFonts w:ascii="黑体" w:hAnsi="黑体" w:eastAsia="黑体"/>
          <w:b/>
          <w:sz w:val="28"/>
        </w:rPr>
        <w:t>MICP-椰壳纤维协同固化砂土性能分析与预测系统</w:t>
      </w:r>
    </w:p>
    <w:p>
      <w:pPr>
        <w:spacing w:before="0" w:after="240" w:line="324" w:lineRule="auto"/>
        <w:jc w:val="center"/>
      </w:pPr>
      <w:r>
        <w:rPr>
          <w:rFonts w:ascii="宋体" w:hAnsi="宋体" w:eastAsia="宋体"/>
          <w:b w:val="0"/>
          <w:color w:val="475569"/>
          <w:sz w:val="22"/>
        </w:rPr>
        <w:t>版本号 V1.0　　整理日期 2026 年 10 月 27 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60" w:type="dxa"/>
          <w:start w:w="80" w:type="dxa"/>
          <w:bottom w:w="60" w:type="dxa"/>
          <w:end w:w="80" w:type="dxa"/>
        </w:tblCellMar>
      </w:tblPr>
      <w:tblGrid>
        <w:gridCol w:w="4592"/>
        <w:gridCol w:w="4592"/>
      </w:tblGrid>
      <w:tr>
        <w:tc>
          <w:tcPr>
            <w:tcW w:type="dxa" w:w="2041"/>
            <w:shd w:fill="E6F1EC"/>
            <w:vAlign w:val="center"/>
          </w:tcPr>
          <w:p>
            <w:pPr>
              <w:spacing w:after="0"/>
            </w:pPr>
            <w:r/>
            <w:r>
              <w:rPr>
                <w:rFonts w:ascii="黑体" w:hAnsi="黑体" w:eastAsia="黑体"/>
                <w:b/>
                <w:sz w:val="21"/>
              </w:rPr>
              <w:t>项目</w:t>
            </w:r>
          </w:p>
        </w:tc>
        <w:tc>
          <w:tcPr>
            <w:tcW w:type="dxa" w:w="7143"/>
            <w:shd w:fill="E6F1EC"/>
            <w:vAlign w:val="center"/>
          </w:tcPr>
          <w:p>
            <w:pPr>
              <w:spacing w:after="0"/>
            </w:pPr>
            <w:r/>
            <w:r>
              <w:rPr>
                <w:rFonts w:ascii="黑体" w:hAnsi="黑体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软件全称</w:t>
            </w:r>
          </w:p>
        </w:tc>
        <w:tc>
          <w:tcPr>
            <w:tcW w:type="dxa" w:w="7143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MICP-椰壳纤维协同固化砂土性能分析与预测系统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软件简称</w:t>
            </w:r>
          </w:p>
        </w:tc>
        <w:tc>
          <w:tcPr>
            <w:tcW w:type="dxa" w:w="7143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MICP 固化砂土分析预测系统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版本号</w:t>
            </w:r>
          </w:p>
        </w:tc>
        <w:tc>
          <w:tcPr>
            <w:tcW w:type="dxa" w:w="7143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补正事项</w:t>
            </w:r>
          </w:p>
        </w:tc>
        <w:tc>
          <w:tcPr>
            <w:tcW w:type="dxa" w:w="7143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文档鉴别材料与源程序鉴别材料的独创性、代表性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源程序量</w:t>
            </w:r>
          </w:p>
        </w:tc>
        <w:tc>
          <w:tcPr>
            <w:tcW w:type="dxa" w:w="7143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5 861 行（本次收录的原创业务代码物理行数）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本文作用</w:t>
            </w:r>
          </w:p>
        </w:tc>
        <w:tc>
          <w:tcPr>
            <w:tcW w:type="dxa" w:w="7143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说明补正后源程序与文档的对应关系，并列出所依据的文献</w:t>
            </w:r>
          </w:p>
        </w:tc>
      </w:tr>
    </w:tbl>
    <w:p>
      <w:pPr>
        <w:spacing w:after="80"/>
      </w:pPr>
    </w:p>
    <w:p>
      <w:pPr>
        <w:spacing w:before="280" w:after="120" w:line="288" w:lineRule="auto"/>
      </w:pPr>
      <w:r>
        <w:rPr>
          <w:rFonts w:ascii="黑体" w:hAnsi="黑体" w:eastAsia="黑体"/>
          <w:b/>
          <w:color w:val="0F6A52"/>
          <w:sz w:val="32"/>
        </w:rPr>
        <w:t>一、补正事由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前次提交的文档和源程序鉴别材料被退回，审查意见为：提交的文档和源程序鉴别材料模板化程度较高，请提交具有独创性、代表性的文档和源程序鉴别材料，需要将代码的深度、独创性进行完善。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本次提交重写了椰壳纤维协同 MICP 固化砂土的算法、对应的页面，以及设计说明书、用户操作手册、测试报告和运行截图。源程序只收这些业务文件。README、依赖清单和样式表没有编入。</w:t>
      </w:r>
    </w:p>
    <w:p>
      <w:pPr>
        <w:spacing w:before="280" w:after="120" w:line="288" w:lineRule="auto"/>
      </w:pPr>
      <w:r>
        <w:rPr>
          <w:rFonts w:ascii="黑体" w:hAnsi="黑体" w:eastAsia="黑体"/>
          <w:b/>
          <w:color w:val="0F6A52"/>
          <w:sz w:val="32"/>
        </w:rPr>
        <w:t>二、软件计算的对象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MICP 用产脲酶菌把尿素水解，再与钙盐生成碳酸钙，沉淀在砂颗粒接触处，从而提高抗剪强度[1]。Whiffin 等在 5 m 砂柱上完成了菌液和反应液的灌注，处理后强度提高，土体仍能过水[2]。椰壳纤维与 MICP 一起使用时，纤维掺量大约在 0.3%（按砂重）附近抗剪参数较好，掺量再增加，增益变小[4]。一次试验要分多轮灌注，一个课题组手头的有效样本常常只有几十条。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本软件先按这套工序算出七项指标的基线，再用已有样本修正基线没有跟上的部分。敏感性、配比搜索、异常值检验和报告用的是同一组参数。下面按源文件写计算公式、系数从哪里来，以及文献能证明到哪一步。</w:t>
      </w:r>
    </w:p>
    <w:p>
      <w:pPr>
        <w:spacing w:before="280" w:after="120" w:line="288" w:lineRule="auto"/>
      </w:pPr>
      <w:r>
        <w:rPr>
          <w:rFonts w:ascii="黑体" w:hAnsi="黑体" w:eastAsia="黑体"/>
          <w:b/>
          <w:color w:val="0F6A52"/>
          <w:sz w:val="32"/>
        </w:rPr>
        <w:t>三、源程序的独创内容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原创算法集中在 backend/micp 包，共 11 个 Python 文件、约 2 300 行。接口层 backend/server.py、数据层 backend/db.py 负责按项目隔离存取方案、样本和模型；前端 backend/static/app.js 与 backend/templates/index.html 实现与算法一一对应的操作面板，并在后端不可达时用 JavaScript 复现同一套机理公式。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D78"/>
          <w:sz w:val="26"/>
        </w:rPr>
        <w:t>3.1  MICP 机理模型（mechanism.py）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mechanism.py 按灌注工序分段计算。数值系数都在 MechanismConstants 里。文献支持的是现象，不是表中每一个常数。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60" w:type="dxa"/>
          <w:start w:w="80" w:type="dxa"/>
          <w:bottom w:w="60" w:type="dxa"/>
          <w:end w:w="80" w:type="dxa"/>
        </w:tblCellMar>
      </w:tblPr>
      <w:tblGrid>
        <w:gridCol w:w="3061"/>
        <w:gridCol w:w="3061"/>
        <w:gridCol w:w="3061"/>
      </w:tblGrid>
      <w:tr>
        <w:tc>
          <w:tcPr>
            <w:tcW w:type="dxa" w:w="1474"/>
            <w:shd w:fill="E6F1EC"/>
            <w:vAlign w:val="center"/>
          </w:tcPr>
          <w:p>
            <w:pPr>
              <w:spacing w:after="0"/>
            </w:pPr>
            <w:r/>
            <w:r>
              <w:rPr>
                <w:rFonts w:ascii="黑体" w:hAnsi="黑体" w:eastAsia="黑体"/>
                <w:b/>
                <w:sz w:val="21"/>
              </w:rPr>
              <w:t>环节</w:t>
            </w:r>
          </w:p>
        </w:tc>
        <w:tc>
          <w:tcPr>
            <w:tcW w:type="dxa" w:w="4195"/>
            <w:shd w:fill="E6F1EC"/>
            <w:vAlign w:val="center"/>
          </w:tcPr>
          <w:p>
            <w:pPr>
              <w:spacing w:after="0"/>
            </w:pPr>
            <w:r/>
            <w:r>
              <w:rPr>
                <w:rFonts w:ascii="黑体" w:hAnsi="黑体" w:eastAsia="黑体"/>
                <w:b/>
                <w:sz w:val="21"/>
              </w:rPr>
              <w:t>采用的关系</w:t>
            </w:r>
          </w:p>
        </w:tc>
        <w:tc>
          <w:tcPr>
            <w:tcW w:type="dxa" w:w="3515"/>
            <w:shd w:fill="E6F1EC"/>
            <w:vAlign w:val="center"/>
          </w:tcPr>
          <w:p>
            <w:pPr>
              <w:spacing w:after="0"/>
            </w:pPr>
            <w:r/>
            <w:r>
              <w:rPr>
                <w:rFonts w:ascii="黑体" w:hAnsi="黑体" w:eastAsia="黑体"/>
                <w:b/>
                <w:sz w:val="21"/>
              </w:rPr>
              <w:t>写入代码的要点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菌液活性</w:t>
            </w:r>
          </w:p>
        </w:tc>
        <w:tc>
          <w:tcPr>
            <w:tcW w:type="dxa" w:w="419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有效菌量 B = 菌液体积 × OD600；饱和项取 Michaelis-Menten 形式[7]，半饱和常数 KB = 50</w:t>
            </w:r>
          </w:p>
        </w:tc>
        <w:tc>
          <w:tcPr>
            <w:tcW w:type="dxa" w:w="351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KB = 50 是本软件取值，不是文献中的酶动力学常数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温度</w:t>
            </w:r>
          </w:p>
        </w:tc>
        <w:tc>
          <w:tcPr>
            <w:tcW w:type="dxa" w:w="419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以 30 ℃ 为峰值的高斯型因子，下限 0.25，标准差 9 ℃</w:t>
            </w:r>
          </w:p>
        </w:tc>
        <w:tc>
          <w:tcPr>
            <w:tcW w:type="dxa" w:w="351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 ℃、0.25、9 ℃ 均为本软件设定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灌注利用率</w:t>
            </w:r>
          </w:p>
        </w:tc>
        <w:tc>
          <w:tcPr>
            <w:tcW w:type="dxa" w:w="419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圆柱试样直径 39.1 mm、高 80 mm，体积取 96 cm³；利用率由孔隙体积与胶结液体积之比裁剪到 0.35～1</w:t>
            </w:r>
          </w:p>
        </w:tc>
        <w:tc>
          <w:tcPr>
            <w:tcW w:type="dxa" w:w="351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39.1 mm 是 GB/T 50123—2019 规定的三轴试样直径之一，80 mm 对应的高径比约 2.05，落在 2.0～2.5 内[8]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浓度项</w:t>
            </w:r>
          </w:p>
        </w:tc>
        <w:tc>
          <w:tcPr>
            <w:tcW w:type="dxa" w:w="419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胶结液浓度超过 0.75 mol/L 后，因子随超出量的平方指数衰减</w:t>
            </w:r>
          </w:p>
        </w:tc>
        <w:tc>
          <w:tcPr>
            <w:tcW w:type="dxa" w:w="351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Al Qabany 等观察到注入速率过高时化学效率下降，浓度主要改变孔隙中的沉淀分布[3]。0.75 和 1.8 是本软件系数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逐轮转化</w:t>
            </w:r>
          </w:p>
        </w:tc>
        <w:tc>
          <w:tcPr>
            <w:tcW w:type="dxa" w:w="419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k 轮效率乘以 (1－上一轮孔隙填充率)³ 和 e^(－0.03k)</w:t>
            </w:r>
          </w:p>
        </w:tc>
        <w:tc>
          <w:tcPr>
            <w:tcW w:type="dxa" w:w="351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重复灌浆会在接触处继续沉淀[1][2]。立方项和 0.03 是本软件的衰减写法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纤维桥接</w:t>
            </w:r>
          </w:p>
        </w:tc>
        <w:tc>
          <w:tcPr>
            <w:tcW w:type="dxa" w:w="419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以 0.40% 为峰的单峰函数，超过 0.75% 后再乘团聚衰减</w:t>
            </w:r>
          </w:p>
        </w:tc>
        <w:tc>
          <w:tcPr>
            <w:tcW w:type="dxa" w:w="351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直剪试验中椰壳纤维较优掺量约为 0.3%[4]。0.40% 和 0.75% 是本软件取的峰和衰减起点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渗透系数</w:t>
            </w:r>
          </w:p>
        </w:tc>
        <w:tc>
          <w:tcPr>
            <w:tcW w:type="dxa" w:w="419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按 Kozeny-Carman 的孔隙率项 k ∝ n³/(1－n)²[5][6]，再乘纤维折减 (1－0.1F)</w:t>
            </w:r>
          </w:p>
        </w:tc>
        <w:tc>
          <w:tcPr>
            <w:tcW w:type="dxa" w:w="351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折减系数 0.1 为本软件设定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崩解率</w:t>
            </w:r>
          </w:p>
        </w:tc>
        <w:tc>
          <w:tcPr>
            <w:tcW w:type="dxa" w:w="419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42·e^(－3.6φ)·(1－0.3F)，下限 1.5%</w:t>
            </w:r>
          </w:p>
        </w:tc>
        <w:tc>
          <w:tcPr>
            <w:tcW w:type="dxa" w:w="351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42、3.6、0.3 和 1.5% 为本软件设定</w:t>
            </w:r>
          </w:p>
        </w:tc>
      </w:tr>
    </w:tbl>
    <w:p>
      <w:pPr>
        <w:spacing w:after="80"/>
      </w:pP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同一段计算还输出 8 个中间量：有效菌量指数、温度活性因子、累计钙源、钙源转化效率、纤维桥接因子、初始孔隙率、孔隙填充率、灌注液利用率。explain_mechanism() 把它们写成五句中文，顺序是菌液活性、钙源转化、孔隙填充、纤维桥接、机理基线。预测页和报告引用这五句。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D78"/>
          <w:sz w:val="26"/>
        </w:rPr>
        <w:t>3.2  机理基线加残差学习（models.py）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学习器拟合的是残差，不是七项指标本身。预测值 = 机理基线 + 各指标标准差 × 残差。输入共 16 列：8 个试验参数，加上节 3.1 的 8 个中间量。残差先除以该指标的标准差再训练，使 kPa 和百分数不在同一个尺度上相加。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随机森林按 Breiman 的做法，用多棵自助样本上的树做回归[13]，这里是 240 棵；样本少于 60 条时，最大深度取 8，每次分裂只用 60% 的特征。梯度提升用 Friedman 的回归树提升[12]，180 轮，学习率 0.05，树深 3，子采样 0.85。BP 网络为两层隐层 48 和 24，激活函数 ReLU，优化器 Adam，L2 系数 1e-3。这些超参数是本软件设定。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输出再裁到可行范围：无侧限抗压强度不小于 0，碳酸钙含量 0～60%，崩解率 0～100%，渗透系数不小于 0.01（单位为 ×10⁻⁴ cm/s），内摩擦角 10°～60°，固化后干密度 1.0～2.6 g/cm³。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decompose() 把每一次预测拆成机理基线、数据修正和最终值三列，三者满足基线加修正等于最终值。样本不足 8 条、或请求的模型尚未训练时，resolve_model() 退回纯机理预测，并在返回值中标明 fallback 与用户原先请求的模型名称。旧版本地模型若缺少机理特征名，则视为与当前公式不兼容并忽略。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D78"/>
          <w:sz w:val="26"/>
        </w:rPr>
        <w:t>3.3  交叉验证与基线对照（evaluation.py）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折数随样本量变化：少于 8 条不评估，少于 15 条用 3 折，少于 60 条用 5 折，否则 10 折，随机种子固定为 42。每个学习器同时给出折外验证、训练集和纯机理基线三组指标，指标包含决定系数 R²、均方根误差、平均绝对误差和平均绝对百分比误差，并计算训练 R² 与验证 R² 之差作为过拟合差距。推荐模型按验证综合 R² 选取。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在本系统按机理公式生成并加入二阶修正的 48 条样本上，验收脚本记录的结果为：推荐学习器 ensemble 的综合验证 R² 为 0.916，纯机理基线为 0.911；无侧限抗压强度的验证 R² 由基线的 0.950 提高到 0.978，均方根误差由 63.1 kPa 降到 41.5 kPa。该组数字写在测试报告 TC-14 中，可与源程序对照。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D78"/>
          <w:sz w:val="26"/>
        </w:rPr>
        <w:t>3.4  三层敏感性（sensitivity.py）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三种算法调用同一个向量化预测函数。OAT 在当前方案附近对单个参数做 ±10% 的中心差分，得到弹性系数，再把 8 个参数的绝对值归一化到合计 100%。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页面上的“偏依赖曲线”沿一个参数在物理区间内取 15 个点，其余参数固定为当前方案。它用来看浓度项和纤维单峰的形状。Friedman 的偏依赖是对其余变量在样本上取平均[12]。两者算法不同，本文不把这条曲线称作 Friedman 偏依赖。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全局筛选用 Morris 的基本效应[9]。Campolongo 等用绝对值的均值 μ* 避免正负效应抵消，并用标准差 σ 表示非线性或交互[10]。代码默认 12 条轨迹、6 个水平，同时输出 μ*、μ 和 σ。σ/μ* 大于 1 时，页面把该格标成橙色。轨迹数只接受 4～60，超出则接口返回 400。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D78"/>
          <w:sz w:val="26"/>
        </w:rPr>
        <w:t>3.5  样本包络内的多目标配比（optimizer.py）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目标函数是七项指标与相对成本的加权和。越大越好的指标用当前候选集的最小、最大值归一化后正向计入；崩解率、渗透系数和成本反向计入。搜索范围是数据字典的物理区间、用户填写的边界，以及历史样本各参数最小值到最大值再外扩 5% 的交集。用户可以关掉包络限制。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候选点先按 McKay 等的拉丁超立方抽取 400 个[11]。随后取当前得分最高的 6 个点，各生成 40 个正态扰动，标准差为该参数区间宽度的 0.08 除以轮次，做两轮。返回得分最高的若干组配比、UCS 与成本的非支配前沿，以及全部候选点。成本按菌液用量、胶结液浓度、胶结液体积、固化次数和纤维掺量分项相加，单价写在 optimizer.py 里。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D78"/>
          <w:sz w:val="26"/>
        </w:rPr>
        <w:t>3.6  面向该试验数据的统计与校验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statistics.py 先用 Tukey 的四分位距围栏剔除离群点，倍数取 1.5[15]，再用 Grubbs 检验逐个检查剩余极值，显著性水平 0.05，最多 5 次[14]。被剔除的样本会记下方法、界限和原因。单因素方差分析按因素取值从小到大分组，输出 F、自由度、p 值和 η²。p 小于 0.0001 时写成“&lt;0.0001”。UCS 对碳酸钙含量同时做线性拟合和幂函数拟合。Pearson 相关矩阵包含 8 个参数和 7 个指标，共 15 阶。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validators.py 分三层检查导入数据：表头能否映射到标准字段、数值是否落在物理区间、样本是否自相矛盾（例如固化后干密度低于初始干密度）。表头同时接受英文键和中文名。结构或区间错误的行被拒绝；一致性问题记为警告，仍允许入库。synthetic.py 用上述机理公式生成 48 条带可控噪声的示范样本，并故意放入离群点，供界面演示和验收脚本使用；该文件同时写明样本是合成数据，不能代替实测数据库。</w:t>
      </w:r>
    </w:p>
    <w:p>
      <w:pPr>
        <w:spacing w:before="200" w:after="120" w:line="288" w:lineRule="auto"/>
      </w:pPr>
      <w:r>
        <w:rPr>
          <w:rFonts w:ascii="黑体" w:hAnsi="黑体" w:eastAsia="黑体"/>
          <w:b/>
          <w:color w:val="1F4D78"/>
          <w:sz w:val="26"/>
        </w:rPr>
        <w:t>3.7  报告与前端中的同一套逻辑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report.py 不依赖绘图库，直接拼出带四幅 SVG 图的八章 HTML 报告，章节为方案参数、机理解释、预测分解、敏感性、模型评估、统计检验、配比优化和结论。前端 app.js 中的 mechanismBaseline() 按与 Python 相同的系数实现离线预测、OAT 和偏依赖；后端健康检查失败时，交叉验证、Morris、配比优化和报告生成会提示需要后端，其余面板仍可操作。</w:t>
      </w:r>
    </w:p>
    <w:p>
      <w:pPr>
        <w:spacing w:before="280" w:after="120" w:line="288" w:lineRule="auto"/>
      </w:pPr>
      <w:r>
        <w:rPr>
          <w:rFonts w:ascii="黑体" w:hAnsi="黑体" w:eastAsia="黑体"/>
          <w:b/>
          <w:color w:val="0F6A52"/>
          <w:sz w:val="32"/>
        </w:rPr>
        <w:t>四、文档与源程序的对应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下列文档里的公式、接口和界面名称，都能在源程序或这次验收的返回值里找到。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60" w:type="dxa"/>
          <w:start w:w="80" w:type="dxa"/>
          <w:bottom w:w="60" w:type="dxa"/>
          <w:end w:w="80" w:type="dxa"/>
        </w:tblCellMar>
      </w:tblPr>
      <w:tblGrid>
        <w:gridCol w:w="4592"/>
        <w:gridCol w:w="4592"/>
      </w:tblGrid>
      <w:tr>
        <w:tc>
          <w:tcPr>
            <w:tcW w:type="dxa" w:w="1928"/>
            <w:shd w:fill="E6F1EC"/>
            <w:vAlign w:val="center"/>
          </w:tcPr>
          <w:p>
            <w:pPr>
              <w:spacing w:after="0"/>
            </w:pPr>
            <w:r/>
            <w:r>
              <w:rPr>
                <w:rFonts w:ascii="黑体" w:hAnsi="黑体" w:eastAsia="黑体"/>
                <w:b/>
                <w:sz w:val="21"/>
              </w:rPr>
              <w:t>文档</w:t>
            </w:r>
          </w:p>
        </w:tc>
        <w:tc>
          <w:tcPr>
            <w:tcW w:type="dxa" w:w="7257"/>
            <w:shd w:fill="E6F1EC"/>
            <w:vAlign w:val="center"/>
          </w:tcPr>
          <w:p>
            <w:pPr>
              <w:spacing w:after="0"/>
            </w:pPr>
            <w:r/>
            <w:r>
              <w:rPr>
                <w:rFonts w:ascii="黑体" w:hAnsi="黑体" w:eastAsia="黑体"/>
                <w:b/>
                <w:sz w:val="21"/>
              </w:rPr>
              <w:t>与源程序的对应关系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设计说明书</w:t>
            </w:r>
          </w:p>
        </w:tc>
        <w:tc>
          <w:tcPr>
            <w:tcW w:type="dxa" w:w="7257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3 章按 mechanism.py、models.py、evaluation.py、sensitivity.py、optimizer.py、statistics.py 写出公式、系数和函数；第 5 章为 db.py 的八张表；第 7 章为 server.py 的 22 个接口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流程图</w:t>
            </w:r>
          </w:p>
        </w:tc>
        <w:tc>
          <w:tcPr>
            <w:tcW w:type="dxa" w:w="7257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六幅流程图对应总体业务、机理计算链、预测解析、CSV 校验、配比优化、训练与版本管理，图中判断条件和源程序分支一致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用户操作手册</w:t>
            </w:r>
          </w:p>
        </w:tc>
        <w:tc>
          <w:tcPr>
            <w:tcW w:type="dxa" w:w="7257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按页面上 00～09 十个面板逐步说明，控件名称与 index.html 中的按钮、下拉框一致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测试报告</w:t>
            </w:r>
          </w:p>
        </w:tc>
        <w:tc>
          <w:tcPr>
            <w:tcW w:type="dxa" w:w="7257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由 scripts/run_acceptance.py 调用全部接口后自动生成，31 个用例均写入本次运行的状态码、关键返回值和耗时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截图及截图说明</w:t>
            </w:r>
          </w:p>
        </w:tc>
        <w:tc>
          <w:tcPr>
            <w:tcW w:type="dxa" w:w="7257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18 张 PNG 为浏览器原生视口截取的运行界面，分别对应预测分解、交叉验证、Morris、Pareto、方差分析和报告预览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部署说明</w:t>
            </w:r>
          </w:p>
        </w:tc>
        <w:tc>
          <w:tcPr>
            <w:tcW w:type="dxa" w:w="7257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写明本地启动、Gunicorn 与 Nginx、数据库路径 backend/data/micp.db</w:t>
            </w:r>
          </w:p>
        </w:tc>
      </w:tr>
    </w:tbl>
    <w:p>
      <w:pPr>
        <w:spacing w:after="80"/>
      </w:pP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测试报告里可直接核对的数字：TC-13 为三种学习器的交叉验证指标；TC-17 中纤维增韧方案 B 的无侧限抗压强度为 520.3 kPa，等于机理基线 522.5 kPa 加上残差 －2.2 kPa；TC-20 中胶结液浓度的扫描曲线在 1.76 mol/L 附近达到峰值后下降；TC-23 为包络内搜索得到的非支配前沿；TC-26 为纤维掺量对崩解率的方差分析。这些数是 scripts/run_acceptance.py 一次运行写进报告的，不是事后填入的。</w:t>
      </w:r>
    </w:p>
    <w:p>
      <w:pPr>
        <w:spacing w:before="280" w:after="120" w:line="288" w:lineRule="auto"/>
      </w:pPr>
      <w:r>
        <w:rPr>
          <w:rFonts w:ascii="黑体" w:hAnsi="黑体" w:eastAsia="黑体"/>
          <w:b/>
          <w:color w:val="0F6A52"/>
          <w:sz w:val="32"/>
        </w:rPr>
        <w:t>五、源程序鉴别材料的收录范围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下表只计业务代码的物理行数，合计 5 861 行。README、依赖清单、样式表和第三方库没有计入。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60" w:type="dxa"/>
          <w:start w:w="80" w:type="dxa"/>
          <w:bottom w:w="60" w:type="dxa"/>
          <w:end w:w="80" w:type="dxa"/>
        </w:tblCellMar>
      </w:tblPr>
      <w:tblGrid>
        <w:gridCol w:w="3061"/>
        <w:gridCol w:w="3061"/>
        <w:gridCol w:w="3061"/>
      </w:tblGrid>
      <w:tr>
        <w:tc>
          <w:tcPr>
            <w:tcW w:type="dxa" w:w="4309"/>
            <w:shd w:fill="E6F1EC"/>
            <w:vAlign w:val="center"/>
          </w:tcPr>
          <w:p>
            <w:pPr>
              <w:spacing w:after="0"/>
            </w:pPr>
            <w:r/>
            <w:r>
              <w:rPr>
                <w:rFonts w:ascii="黑体" w:hAnsi="黑体" w:eastAsia="黑体"/>
                <w:b/>
                <w:sz w:val="21"/>
              </w:rPr>
              <w:t>文件</w:t>
            </w:r>
          </w:p>
        </w:tc>
        <w:tc>
          <w:tcPr>
            <w:tcW w:type="dxa" w:w="1134"/>
            <w:shd w:fill="E6F1EC"/>
            <w:vAlign w:val="center"/>
          </w:tcPr>
          <w:p>
            <w:pPr>
              <w:spacing w:after="0"/>
            </w:pPr>
            <w:r/>
            <w:r>
              <w:rPr>
                <w:rFonts w:ascii="黑体" w:hAnsi="黑体" w:eastAsia="黑体"/>
                <w:b/>
                <w:sz w:val="21"/>
              </w:rPr>
              <w:t>行数</w:t>
            </w:r>
          </w:p>
        </w:tc>
        <w:tc>
          <w:tcPr>
            <w:tcW w:type="dxa" w:w="3742"/>
            <w:shd w:fill="E6F1EC"/>
            <w:vAlign w:val="center"/>
          </w:tcPr>
          <w:p>
            <w:pPr>
              <w:spacing w:after="0"/>
            </w:pPr>
            <w:r/>
            <w:r>
              <w:rPr>
                <w:rFonts w:ascii="黑体" w:hAnsi="黑体" w:eastAsia="黑体"/>
                <w:b/>
                <w:sz w:val="21"/>
              </w:rPr>
              <w:t>在软件中的作用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backend/micp/mechanism.py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329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MICP 机理链条与机理解释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backend/micp/report.py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323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八章 HTML 报告与 SVG 图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backend/micp/statistics.py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256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异常值、方差分析、相关与回归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backend/micp/optimizer.py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248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拉丁超立方、高斯细化与 Pareto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backend/micp/models.py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237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残差学习、分解与物理裁剪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backend/micp/__init__.py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199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训练、预测、优化的统一入口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backend/micp/sensitivity.py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183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OAT、偏依赖、Morris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backend/micp/schemas.py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163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参数、指标、特征字典与表头别名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backend/micp/evaluation.py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142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自适应 K 折与基线对照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backend/micp/validators.py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127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三层校验与 CSV 解析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backend/micp/synthetic.py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126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机理公式示范样本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backend/db.py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474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八张表及按项目隔离的存取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backend/server.py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436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22 个 REST 接口与统一错误处理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backend/ml.py、wsgi.py、bootstrap_admin.py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55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兼容入口、WSGI、管理员初始化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backend/static/app.js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1 923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十个面板、离线机理模型与绘图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backend/templates/index.html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640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页面结构与面板分区</w:t>
            </w:r>
          </w:p>
        </w:tc>
      </w:tr>
      <w:tr>
        <w:tc>
          <w:tcPr>
            <w:tcW w:type="dxa" w:w="4309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1134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5 861</w:t>
            </w:r>
          </w:p>
        </w:tc>
        <w:tc>
          <w:tcPr>
            <w:tcW w:type="dxa" w:w="374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本次源程序鉴别材料的全部收录行</w:t>
            </w:r>
          </w:p>
        </w:tc>
      </w:tr>
    </w:tbl>
    <w:p>
      <w:pPr>
        <w:spacing w:after="80"/>
      </w:pP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源程序页每页 50 行，页眉为软件全称和版本号 V1.0，页码连续。前 30 页与后 30 页的文件顺序与上表相同。全量清单用的是同一批文件。</w:t>
      </w:r>
    </w:p>
    <w:p>
      <w:pPr>
        <w:spacing w:before="280" w:after="120" w:line="288" w:lineRule="auto"/>
      </w:pPr>
      <w:r>
        <w:rPr>
          <w:rFonts w:ascii="黑体" w:hAnsi="黑体" w:eastAsia="黑体"/>
          <w:b/>
          <w:color w:val="0F6A52"/>
          <w:sz w:val="32"/>
        </w:rPr>
        <w:t>六、对照表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60" w:type="dxa"/>
          <w:start w:w="80" w:type="dxa"/>
          <w:bottom w:w="60" w:type="dxa"/>
          <w:end w:w="80" w:type="dxa"/>
        </w:tblCellMar>
      </w:tblPr>
      <w:tblGrid>
        <w:gridCol w:w="3061"/>
        <w:gridCol w:w="3061"/>
        <w:gridCol w:w="3061"/>
      </w:tblGrid>
      <w:tr>
        <w:tc>
          <w:tcPr>
            <w:tcW w:type="dxa" w:w="2608"/>
            <w:shd w:fill="E6F1EC"/>
            <w:vAlign w:val="center"/>
          </w:tcPr>
          <w:p>
            <w:pPr>
              <w:spacing w:after="0"/>
            </w:pPr>
            <w:r/>
            <w:r>
              <w:rPr>
                <w:rFonts w:ascii="黑体" w:hAnsi="黑体" w:eastAsia="黑体"/>
                <w:b/>
                <w:sz w:val="21"/>
              </w:rPr>
              <w:t>内容</w:t>
            </w:r>
          </w:p>
        </w:tc>
        <w:tc>
          <w:tcPr>
            <w:tcW w:type="dxa" w:w="3175"/>
            <w:shd w:fill="E6F1EC"/>
            <w:vAlign w:val="center"/>
          </w:tcPr>
          <w:p>
            <w:pPr>
              <w:spacing w:after="0"/>
            </w:pPr>
            <w:r/>
            <w:r>
              <w:rPr>
                <w:rFonts w:ascii="黑体" w:hAnsi="黑体" w:eastAsia="黑体"/>
                <w:b/>
                <w:sz w:val="21"/>
              </w:rPr>
              <w:t>源程序位置</w:t>
            </w:r>
          </w:p>
        </w:tc>
        <w:tc>
          <w:tcPr>
            <w:tcW w:type="dxa" w:w="3402"/>
            <w:shd w:fill="E6F1EC"/>
            <w:vAlign w:val="center"/>
          </w:tcPr>
          <w:p>
            <w:pPr>
              <w:spacing w:after="0"/>
            </w:pPr>
            <w:r/>
            <w:r>
              <w:rPr>
                <w:rFonts w:ascii="黑体" w:hAnsi="黑体" w:eastAsia="黑体"/>
                <w:b/>
                <w:sz w:val="21"/>
              </w:rPr>
              <w:t>文档与运行结果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碳酸钙逐轮生成、孔隙堵塞、纤维单峰</w:t>
            </w:r>
          </w:p>
        </w:tc>
        <w:tc>
          <w:tcPr>
            <w:tcW w:type="dxa" w:w="317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mechanism.py 的逐轮循环与纤维桥接函数</w:t>
            </w:r>
          </w:p>
        </w:tc>
        <w:tc>
          <w:tcPr>
            <w:tcW w:type="dxa" w:w="340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设计说明书 3.1；截图 05 的机理解释链条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预测可拆成机理部分与数据修正</w:t>
            </w:r>
          </w:p>
        </w:tc>
        <w:tc>
          <w:tcPr>
            <w:tcW w:type="dxa" w:w="317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models.py 的 decompose()</w:t>
            </w:r>
          </w:p>
        </w:tc>
        <w:tc>
          <w:tcPr>
            <w:tcW w:type="dxa" w:w="340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设计说明书 3.2；测试报告 TC-17；截图 05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小样本时退回纯机理，并与基线比较</w:t>
            </w:r>
          </w:p>
        </w:tc>
        <w:tc>
          <w:tcPr>
            <w:tcW w:type="dxa" w:w="317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evaluation.py、resolve_model()</w:t>
            </w:r>
          </w:p>
        </w:tc>
        <w:tc>
          <w:tcPr>
            <w:tcW w:type="dxa" w:w="340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测试报告 TC-14、TC-16；截图 07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主效应与交互效应分开</w:t>
            </w:r>
          </w:p>
        </w:tc>
        <w:tc>
          <w:tcPr>
            <w:tcW w:type="dxa" w:w="317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sensitivity.py 的 μ*、σ、σ/μ*</w:t>
            </w:r>
          </w:p>
        </w:tc>
        <w:tc>
          <w:tcPr>
            <w:tcW w:type="dxa" w:w="340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设计说明书 3.4；截图 08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配比搜索限制在已有样本的参数范围内</w:t>
            </w:r>
          </w:p>
        </w:tc>
        <w:tc>
          <w:tcPr>
            <w:tcW w:type="dxa" w:w="317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optimizer.py 的样本包络与非支配前沿</w:t>
            </w:r>
          </w:p>
        </w:tc>
        <w:tc>
          <w:tcPr>
            <w:tcW w:type="dxa" w:w="340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设计说明书 3.5；截图 09；测试报告 TC-23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异常值、方差分析、UCS 与碳酸钙关系</w:t>
            </w:r>
          </w:p>
        </w:tc>
        <w:tc>
          <w:tcPr>
            <w:tcW w:type="dxa" w:w="317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statistics.py</w:t>
            </w:r>
          </w:p>
        </w:tc>
        <w:tc>
          <w:tcPr>
            <w:tcW w:type="dxa" w:w="340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截图 11、18；测试报告 TC-26、TC-27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导入数据按行给出可核对的错误</w:t>
            </w:r>
          </w:p>
        </w:tc>
        <w:tc>
          <w:tcPr>
            <w:tcW w:type="dxa" w:w="3175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validators.py</w:t>
            </w:r>
          </w:p>
        </w:tc>
        <w:tc>
          <w:tcPr>
            <w:tcW w:type="dxa" w:w="3402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截图 04；测试报告 TC-09～TC-12</w:t>
            </w:r>
          </w:p>
        </w:tc>
      </w:tr>
    </w:tbl>
    <w:p>
      <w:pPr>
        <w:spacing w:after="80"/>
      </w:pPr>
    </w:p>
    <w:p>
      <w:pPr>
        <w:spacing w:before="280" w:after="120" w:line="288" w:lineRule="auto"/>
      </w:pPr>
      <w:r>
        <w:rPr>
          <w:rFonts w:ascii="黑体" w:hAnsi="黑体" w:eastAsia="黑体"/>
          <w:b/>
          <w:color w:val="0F6A52"/>
          <w:sz w:val="32"/>
        </w:rPr>
        <w:t>七、说明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验收数字以 docs/测试报告.md 中 2026 年 10 月 26 日的自动运行结果为准。同一数据集上再次执行 scripts/run_acceptance.py，指标可以复现。synthetic.py 生成的 48 条样本按机理公式加噪声得到，只用于演示和回归测试，不是某一工程的实测值。</w:t>
      </w:r>
    </w:p>
    <w:p>
      <w:pPr>
        <w:spacing w:before="0" w:after="120" w:line="324" w:lineRule="auto"/>
        <w:ind w:firstLine="420"/>
      </w:pPr>
      <w:r>
        <w:rPr>
          <w:rFonts w:ascii="宋体" w:hAnsi="宋体" w:eastAsia="宋体"/>
          <w:b w:val="0"/>
          <w:sz w:val="24"/>
        </w:rPr>
        <w:t>参考文献说明试验现象和所用算法的出处。MechanismConstants、树的棵数、学习率、隐层宽度、成本单价和物理裁剪界限由本软件设定，不能从这些文献中逐项抄出。著作权人、开发完成日期和发表情况以申请表为准。</w:t>
      </w:r>
    </w:p>
    <w:p>
      <w:pPr>
        <w:spacing w:before="280" w:after="120" w:line="288" w:lineRule="auto"/>
      </w:pPr>
      <w:r>
        <w:rPr>
          <w:rFonts w:ascii="黑体" w:hAnsi="黑体" w:eastAsia="黑体"/>
          <w:b/>
          <w:color w:val="0F6A52"/>
          <w:sz w:val="32"/>
        </w:rPr>
        <w:t>参考文献</w:t>
      </w:r>
    </w:p>
    <w:p>
      <w:pPr>
        <w:spacing w:before="0" w:after="60" w:line="288" w:lineRule="auto"/>
        <w:ind w:left="420" w:hanging="420"/>
      </w:pPr>
      <w:r>
        <w:rPr>
          <w:rFonts w:ascii="宋体" w:hAnsi="宋体" w:eastAsia="宋体"/>
          <w:b w:val="0"/>
          <w:sz w:val="21"/>
        </w:rPr>
        <w:t>[1] DeJong J T, Fritzges M B, Nüsslein K. Microbially induced cementation to control sand response to undrained shear[J]. Journal of Geotechnical and Geoenvironmental Engineering, 2006, 132(11): 1381-1392.</w:t>
      </w:r>
    </w:p>
    <w:p>
      <w:pPr>
        <w:spacing w:before="0" w:after="60" w:line="288" w:lineRule="auto"/>
        <w:ind w:left="420" w:hanging="420"/>
      </w:pPr>
      <w:r>
        <w:rPr>
          <w:rFonts w:ascii="宋体" w:hAnsi="宋体" w:eastAsia="宋体"/>
          <w:b w:val="0"/>
          <w:sz w:val="21"/>
        </w:rPr>
        <w:t>[2] Whiffin V S, van Paassen L A, Harkes M P. Microbial carbonate precipitation as a soil improvement technique[J]. Geomicrobiology Journal, 2007, 24(5): 417-423.</w:t>
      </w:r>
    </w:p>
    <w:p>
      <w:pPr>
        <w:spacing w:before="0" w:after="60" w:line="288" w:lineRule="auto"/>
        <w:ind w:left="420" w:hanging="420"/>
      </w:pPr>
      <w:r>
        <w:rPr>
          <w:rFonts w:ascii="宋体" w:hAnsi="宋体" w:eastAsia="宋体"/>
          <w:b w:val="0"/>
          <w:sz w:val="21"/>
        </w:rPr>
        <w:t>[3] Al Qabany A, Soga K, Santamarina C. Factors affecting efficiency of microbially induced calcite precipitation[J]. Journal of Geotechnical and Geoenvironmental Engineering, 2012, 138(8): 992-1001.</w:t>
      </w:r>
    </w:p>
    <w:p>
      <w:pPr>
        <w:spacing w:before="0" w:after="60" w:line="288" w:lineRule="auto"/>
        <w:ind w:left="420" w:hanging="420"/>
      </w:pPr>
      <w:r>
        <w:rPr>
          <w:rFonts w:ascii="宋体" w:hAnsi="宋体" w:eastAsia="宋体"/>
          <w:b w:val="0"/>
          <w:sz w:val="21"/>
        </w:rPr>
        <w:t>[4] Joga S P R, Mallikarjuna Rao K. Influence of shear strength parameters on loose fine sand treated with coir fiber and microbially induced calcite precipitation[J]. Discover Geoscience, 2024. DOI: 10.1007/s44288-024-00071-9.</w:t>
      </w:r>
    </w:p>
    <w:p>
      <w:pPr>
        <w:spacing w:before="0" w:after="60" w:line="288" w:lineRule="auto"/>
        <w:ind w:left="420" w:hanging="420"/>
      </w:pPr>
      <w:r>
        <w:rPr>
          <w:rFonts w:ascii="宋体" w:hAnsi="宋体" w:eastAsia="宋体"/>
          <w:b w:val="0"/>
          <w:sz w:val="21"/>
        </w:rPr>
        <w:t>[5] Carman P C. Flow of gases through porous media[M]. London: Butterworths, 1956.</w:t>
      </w:r>
    </w:p>
    <w:p>
      <w:pPr>
        <w:spacing w:before="0" w:after="60" w:line="288" w:lineRule="auto"/>
        <w:ind w:left="420" w:hanging="420"/>
      </w:pPr>
      <w:r>
        <w:rPr>
          <w:rFonts w:ascii="宋体" w:hAnsi="宋体" w:eastAsia="宋体"/>
          <w:b w:val="0"/>
          <w:sz w:val="21"/>
        </w:rPr>
        <w:t>[6] Carrier W D III. Goodbye, Hazen; Hello, Kozeny-Carman[J]. Journal of Geotechnical and Geoenvironmental Engineering, 2003, 129(11): 1054-1056.</w:t>
      </w:r>
    </w:p>
    <w:p>
      <w:pPr>
        <w:spacing w:before="0" w:after="60" w:line="288" w:lineRule="auto"/>
        <w:ind w:left="420" w:hanging="420"/>
      </w:pPr>
      <w:r>
        <w:rPr>
          <w:rFonts w:ascii="宋体" w:hAnsi="宋体" w:eastAsia="宋体"/>
          <w:b w:val="0"/>
          <w:sz w:val="21"/>
        </w:rPr>
        <w:t>[7] Michaelis L, Menten M L. Die Kinetik der Invertinwirkung[J]. Biochemische Zeitschrift, 1913, 49: 333-369.</w:t>
      </w:r>
    </w:p>
    <w:p>
      <w:pPr>
        <w:spacing w:before="0" w:after="60" w:line="288" w:lineRule="auto"/>
        <w:ind w:left="420" w:hanging="420"/>
      </w:pPr>
      <w:r>
        <w:rPr>
          <w:rFonts w:ascii="宋体" w:hAnsi="宋体" w:eastAsia="宋体"/>
          <w:b w:val="0"/>
          <w:sz w:val="21"/>
        </w:rPr>
        <w:t>[8] 中华人民共和国住房和城乡建设部. 土工试验方法标准: GB/T 50123—2019[S]. 北京: 中国计划出版社, 2019.</w:t>
      </w:r>
    </w:p>
    <w:p>
      <w:pPr>
        <w:spacing w:before="0" w:after="60" w:line="288" w:lineRule="auto"/>
        <w:ind w:left="420" w:hanging="420"/>
      </w:pPr>
      <w:r>
        <w:rPr>
          <w:rFonts w:ascii="宋体" w:hAnsi="宋体" w:eastAsia="宋体"/>
          <w:b w:val="0"/>
          <w:sz w:val="21"/>
        </w:rPr>
        <w:t>[9] Morris M D. Factorial sampling plans for preliminary computational experiments[J]. Technometrics, 1991, 33(2): 161-174.</w:t>
      </w:r>
    </w:p>
    <w:p>
      <w:pPr>
        <w:spacing w:before="0" w:after="60" w:line="288" w:lineRule="auto"/>
        <w:ind w:left="420" w:hanging="420"/>
      </w:pPr>
      <w:r>
        <w:rPr>
          <w:rFonts w:ascii="宋体" w:hAnsi="宋体" w:eastAsia="宋体"/>
          <w:b w:val="0"/>
          <w:sz w:val="21"/>
        </w:rPr>
        <w:t>[10] Campolongo F, Cariboni J, Saltelli A. An effective screening design for sensitivity analysis of large models[J]. Environmental Modelling &amp; Software, 2007, 22(10): 1509-1518.</w:t>
      </w:r>
    </w:p>
    <w:p>
      <w:pPr>
        <w:spacing w:before="0" w:after="60" w:line="288" w:lineRule="auto"/>
        <w:ind w:left="420" w:hanging="420"/>
      </w:pPr>
      <w:r>
        <w:rPr>
          <w:rFonts w:ascii="宋体" w:hAnsi="宋体" w:eastAsia="宋体"/>
          <w:b w:val="0"/>
          <w:sz w:val="21"/>
        </w:rPr>
        <w:t>[11] McKay M D, Beckman R J, Conover W J. A comparison of three methods for selecting values of input variables in the analysis of output from a computer code[J]. Technometrics, 1979, 21(2): 239-245.</w:t>
      </w:r>
    </w:p>
    <w:p>
      <w:pPr>
        <w:spacing w:before="0" w:after="60" w:line="288" w:lineRule="auto"/>
        <w:ind w:left="420" w:hanging="420"/>
      </w:pPr>
      <w:r>
        <w:rPr>
          <w:rFonts w:ascii="宋体" w:hAnsi="宋体" w:eastAsia="宋体"/>
          <w:b w:val="0"/>
          <w:sz w:val="21"/>
        </w:rPr>
        <w:t>[12] Friedman J H. Greedy function approximation: a gradient boosting machine[J]. The Annals of Statistics, 2001, 29(5): 1189-1232.</w:t>
      </w:r>
    </w:p>
    <w:p>
      <w:pPr>
        <w:spacing w:before="0" w:after="60" w:line="288" w:lineRule="auto"/>
        <w:ind w:left="420" w:hanging="420"/>
      </w:pPr>
      <w:r>
        <w:rPr>
          <w:rFonts w:ascii="宋体" w:hAnsi="宋体" w:eastAsia="宋体"/>
          <w:b w:val="0"/>
          <w:sz w:val="21"/>
        </w:rPr>
        <w:t>[13] Breiman L. Random forests[J]. Machine Learning, 2001, 45(1): 5-32.</w:t>
      </w:r>
    </w:p>
    <w:p>
      <w:pPr>
        <w:spacing w:before="0" w:after="60" w:line="288" w:lineRule="auto"/>
        <w:ind w:left="420" w:hanging="420"/>
      </w:pPr>
      <w:r>
        <w:rPr>
          <w:rFonts w:ascii="宋体" w:hAnsi="宋体" w:eastAsia="宋体"/>
          <w:b w:val="0"/>
          <w:sz w:val="21"/>
        </w:rPr>
        <w:t>[14] Grubbs F E. Procedures for detecting outlying observations in samples[J]. Technometrics, 1969, 11(1): 1-21.</w:t>
      </w:r>
    </w:p>
    <w:p>
      <w:pPr>
        <w:spacing w:before="0" w:after="60" w:line="288" w:lineRule="auto"/>
        <w:ind w:left="420" w:hanging="420"/>
      </w:pPr>
      <w:r>
        <w:rPr>
          <w:rFonts w:ascii="宋体" w:hAnsi="宋体" w:eastAsia="宋体"/>
          <w:b w:val="0"/>
          <w:sz w:val="21"/>
        </w:rPr>
        <w:t>[15] Tukey J W. Exploratory data analysis[M]. Reading: Addison-Wesley, 1977.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748B"/>
        <w:sz w:val="18"/>
      </w:rPr>
      <w:t>本文说明本次补正后源程序与文档的独创内容、对应关系及验证结果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b w:val="0"/>
        <w:color w:val="64748B"/>
        <w:sz w:val="18"/>
      </w:rPr>
      <w:t>MICP-椰壳纤维协同固化砂土性能分析与预测系统 V1.0　补正补充说明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