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324" w:lineRule="auto"/>
        <w:jc w:val="center"/>
      </w:pPr>
      <w:r>
        <w:rPr>
          <w:rFonts w:ascii="黑体" w:hAnsi="黑体" w:eastAsia="黑体"/>
          <w:b/>
          <w:color w:val="0F6A52"/>
          <w:sz w:val="28"/>
        </w:rPr>
        <w:t>软件著作权登记</w:t>
      </w:r>
    </w:p>
    <w:p>
      <w:pPr>
        <w:spacing w:before="0" w:after="160" w:line="324" w:lineRule="auto"/>
        <w:jc w:val="center"/>
      </w:pPr>
      <w:r>
        <w:rPr>
          <w:rFonts w:ascii="黑体" w:hAnsi="黑体" w:eastAsia="黑体"/>
          <w:b/>
          <w:color w:val="0B2545"/>
          <w:sz w:val="44"/>
        </w:rPr>
        <w:t>补正补充说明</w:t>
      </w:r>
    </w:p>
    <w:p>
      <w:pPr>
        <w:spacing w:before="0" w:after="40" w:line="324" w:lineRule="auto"/>
        <w:jc w:val="center"/>
      </w:pPr>
      <w:r>
        <w:rPr>
          <w:rFonts w:ascii="黑体" w:hAnsi="黑体" w:eastAsia="黑体"/>
          <w:b/>
          <w:sz w:val="28"/>
        </w:rPr>
        <w:t>MICP-椰壳纤维协同固化砂土性能分析与预测系统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color w:val="475569"/>
          <w:sz w:val="22"/>
        </w:rPr>
        <w:t>版本号 V1.0　　整理日期 2026 年 10 月 27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592"/>
        <w:gridCol w:w="4592"/>
      </w:tblGrid>
      <w:tr>
        <w:tc>
          <w:tcPr>
            <w:tcW w:type="dxa" w:w="2041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7143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软件全称</w:t>
            </w:r>
          </w:p>
        </w:tc>
        <w:tc>
          <w:tcPr>
            <w:tcW w:type="dxa" w:w="714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MICP-椰壳纤维协同固化砂土性能分析与预测系统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软件简称</w:t>
            </w:r>
          </w:p>
        </w:tc>
        <w:tc>
          <w:tcPr>
            <w:tcW w:type="dxa" w:w="714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MICP 固化砂土分析预测系统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714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补正事项</w:t>
            </w:r>
          </w:p>
        </w:tc>
        <w:tc>
          <w:tcPr>
            <w:tcW w:type="dxa" w:w="714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文档鉴别材料与源程序鉴别材料的独创性、代表性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源程序量</w:t>
            </w:r>
          </w:p>
        </w:tc>
        <w:tc>
          <w:tcPr>
            <w:tcW w:type="dxa" w:w="714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5 861 行（本次收录的原创业务代码物理行数）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本文作用</w:t>
            </w:r>
          </w:p>
        </w:tc>
        <w:tc>
          <w:tcPr>
            <w:tcW w:type="dxa" w:w="7143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说明补正后源程序与文档的对应关系，并列出所依据的文献</w:t>
            </w:r>
          </w:p>
        </w:tc>
      </w:tr>
    </w:tbl>
    <w:p>
      <w:pPr>
        <w:spacing w:after="80"/>
      </w:pP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一、补正事由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前次提交的文档和源程序鉴别材料被退回，审查意见为：提交的文档和源程序鉴别材料模板化程度较高，请提交具有独创性、代表性的文档和源程序鉴别材料，需要将代码的深度、独创性进行完善。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本次提交重写了椰壳纤维协同 MICP 固化砂土的算法、对应的页面，以及设计说明书、用户操作手册、测试报告和运行截图。源程序只收这些业务文件。README、依赖清单和样式表没有编入。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二、软件计算的对象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MICP 用产脲酶菌把尿素水解，再与钙盐生成碳酸钙，沉淀在砂颗粒接触处，从而提高抗剪强度[1]。Whiffin 等在 5 m 砂柱上完成了菌液和反应液的灌注，处理后强度提高，土体仍能过水[2]。椰壳纤维与 MICP 一起使用时，纤维掺量大约在 0.3%（按砂重）附近抗剪参数较好，掺量再增加，增益变小[4]。一次试验要分多轮灌注，一个课题组手头的有效样本常常只有几十条。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本软件先按这套工序算出七项指标的基线，再用已有样本修正基线没有跟上的部分。敏感性、配比搜索、异常值检验和报告用的是同一组参数。下面按源文件写计算公式、系数从哪里来，以及文献能证明到哪一步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三、源程序的独创内容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原创算法集中在 backend/micp 包，共 11 个 Python 文件、约 2 300 行。接口层 backend/server.py、数据层 backend/db.py 负责按项目隔离存取方案、样本和模型；前端 backend/static/app.js 与 backend/templates/index.html 实现与算法一一对应的操作面板，并在后端不可达时用 JavaScript 复现同一套机理公式。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D78"/>
          <w:sz w:val="26"/>
        </w:rPr>
        <w:t>3.1  MICP 机理模型（mechanism.py）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mechanism.py 按灌注工序分段计算。数值系数都在 MechanismConstants 里。文献支持的是现象，不是表中每一个常数。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061"/>
        <w:gridCol w:w="3061"/>
        <w:gridCol w:w="3061"/>
      </w:tblGrid>
      <w:tr>
        <w:tc>
          <w:tcPr>
            <w:tcW w:type="dxa" w:w="1474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环节</w:t>
            </w:r>
          </w:p>
        </w:tc>
        <w:tc>
          <w:tcPr>
            <w:tcW w:type="dxa" w:w="4195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采用的关系</w:t>
            </w:r>
          </w:p>
        </w:tc>
        <w:tc>
          <w:tcPr>
            <w:tcW w:type="dxa" w:w="3515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写入代码的要点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菌液活性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有效菌量 B = 菌液体积 × OD600；饱和项取 Michaelis-Menten 形式[7]，半饱和常数 KB = 50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KB = 50 是本软件取值，不是文献中的酶动力学常数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温度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 30 ℃ 为峰值的高斯型因子，下限 0.25，标准差 9 ℃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30 ℃、0.25、9 ℃ 均为本软件设定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灌注利用率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圆柱试样 Φ39.1 mm × 80 mm，体积取 96 cm³；利用率由孔隙体积与胶结液体积之比裁剪到 0.35～1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该直径和高度是国内三轴试验常用试样尺寸，试验方法见 GB/T 50123—2019[8]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浓度项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胶结液浓度超过 0.75 mol/L 后，因子随超出量的平方指数衰减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Al Qabany 等观察到注入速率和浓度会改变化学效率与孔隙中的沉淀分布[3]。0.75 和 1.8 是本软件系数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逐轮转化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k 轮效率乘以 (1－上一轮孔隙填充率)³ 和 e^(－0.03k)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重复灌浆会在接触处继续沉淀[1][2]。立方项和 0.03 是本软件的衰减写法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纤维桥接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 0.40% 为峰的单峰函数，超过 0.75% 后再乘团聚衰减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直剪试验中椰壳纤维较优掺量约为 0.3%[4]。0.40% 和 0.75% 是本软件取的峰和衰减起点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渗透系数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 Kozeny-Carman 的孔隙率项 k ∝ n³/(1－n)²[5][6]，再乘纤维折减 (1－0.1F)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折减系数 0.1 为本软件设定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崩解率</w:t>
            </w:r>
          </w:p>
        </w:tc>
        <w:tc>
          <w:tcPr>
            <w:tcW w:type="dxa" w:w="419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42·e^(－3.6φ)·(1－0.3F)，下限 1.5%</w:t>
            </w:r>
          </w:p>
        </w:tc>
        <w:tc>
          <w:tcPr>
            <w:tcW w:type="dxa" w:w="351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42、3.6、0.3 和 1.5% 为本软件设定</w:t>
            </w:r>
          </w:p>
        </w:tc>
      </w:tr>
    </w:tbl>
    <w:p>
      <w:pPr>
        <w:spacing w:after="8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同一段计算还输出 8 个中间量：有效菌量指数、温度活性因子、累计钙源、钙源转化效率、纤维桥接因子、初始孔隙率、孔隙填充率、灌注液利用率。explain_mechanism() 把它们写成五句中文，顺序是菌液活性、钙源转化、孔隙填充、纤维桥接、机理基线。预测页和报告引用这五句。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D78"/>
          <w:sz w:val="26"/>
        </w:rPr>
        <w:t>3.2  机理基线加残差学习（models.py）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学习器拟合的是残差，不是七项指标本身。预测值 = 机理基线 + 各指标标准差 × 残差。输入共 16 列：8 个试验参数，加上节 3.1 的 8 个中间量。残差先除以该指标的标准差再训练，使 kPa 和百分数不在同一个尺度上相加。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随机森林按 Breiman 的做法，用多棵自助样本上的树做回归[13]，这里是 240 棵；样本少于 60 条时，最大深度取 8，每次分裂只用 60% 的特征。梯度提升用 Friedman 的回归树提升[12]，180 轮，学习率 0.05，树深 3，子采样 0.85。BP 网络为两层隐层 48 和 24，激活函数 ReLU，优化器 Adam，L2 系数 1e-3。这些超参数是本软件设定。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输出再裁到可行范围：无侧限抗压强度不小于 0，碳酸钙含量 0～60%，崩解率 0～100%，渗透系数不小于 0.01（单位为 ×10⁻⁴ cm/s），内摩擦角 10°～60°，固化后干密度 1.0～2.6 g/cm³。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decompose() 把每一次预测拆成机理基线、数据修正和最终值三列，三者满足基线加修正等于最终值。样本不足 8 条、或请求的模型尚未训练时，resolve_model() 退回纯机理预测，并在返回值中标明 fallback 与用户原先请求的模型名称。旧版本地模型若缺少机理特征名，则视为与当前公式不兼容并忽略。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D78"/>
          <w:sz w:val="26"/>
        </w:rPr>
        <w:t>3.3  交叉验证与基线对照（evaluation.py）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折数随样本量变化：少于 8 条不评估，少于 15 条用 3 折，少于 60 条用 5 折，否则 10 折，随机种子固定为 42。每个学习器同时给出折外验证、训练集和纯机理基线三组指标，指标包含决定系数 R²、均方根误差、平均绝对误差和平均绝对百分比误差，并计算训练 R² 与验证 R² 之差作为过拟合差距。推荐模型按验证综合 R² 选取。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在本系统按机理公式生成并加入二阶修正的 48 条样本上，验收脚本记录的结果为：推荐学习器 ensemble 的综合验证 R² 为 0.916，纯机理基线为 0.911；无侧限抗压强度的验证 R² 由基线的 0.950 提高到 0.978，均方根误差由 63.1 kPa 降到 41.5 kPa。该组数字写在测试报告 TC-14 中，可与源程序对照。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D78"/>
          <w:sz w:val="26"/>
        </w:rPr>
        <w:t>3.4  三层敏感性（sensitivity.py）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三种算法调用同一个向量化预测函数。OAT 在当前方案附近对单个参数做 ±10% 的中心差分，得到弹性系数，再把 8 个参数的绝对值归一化到合计 100%。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页面上的“偏依赖曲线”沿一个参数在物理区间内取 15 个点，其余参数固定为当前方案。它用来看浓度项和纤维单峰的形状。Friedman 的偏依赖是对其余变量在样本上取平均[12]。两者算法不同，本文不把这条曲线称作 Friedman 偏依赖。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全局筛选用 Morris 的基本效应[9]。Campolongo 等用绝对值的均值 μ* 避免正负效应抵消，并用标准差 σ 表示非线性或交互[10]。代码默认 12 条轨迹、6 个水平，同时输出 μ*、μ 和 σ。σ/μ* 大于 1 时，页面把该格标成橙色。轨迹数只接受 4～60，超出则接口返回 400。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D78"/>
          <w:sz w:val="26"/>
        </w:rPr>
        <w:t>3.5  样本包络内的多目标配比（optimizer.py）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目标函数是七项指标与相对成本的加权和。越大越好的指标用当前候选集的最小、最大值归一化后正向计入；崩解率、渗透系数和成本反向计入。搜索范围是数据字典的物理区间、用户填写的边界，以及历史样本各参数最小值到最大值再外扩 5% 的交集。用户可以关掉包络限制。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候选点先按 McKay 等的拉丁超立方抽取 400 个[11]。随后取当前得分最高的 6 个点，各生成 40 个正态扰动，标准差为该参数区间宽度的 0.08 除以轮次，做两轮。返回得分最高的若干组配比、UCS 与成本的非支配前沿，以及全部候选点。成本按菌液用量、胶结液浓度、胶结液体积、固化次数和纤维掺量分项相加，单价写在 optimizer.py 里。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D78"/>
          <w:sz w:val="26"/>
        </w:rPr>
        <w:t>3.6  面向该试验数据的统计与校验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statistics.py 先用 Tukey 的四分位距围栏剔除离群点，倍数取 1.5[15]，再用 Grubbs 检验逐个检查剩余极值，显著性水平 0.05，最多 5 次[14]。被剔除的样本会记下方法、界限和原因。单因素方差分析按因素取值从小到大分组，输出 F、自由度、p 值和 η²。p 小于 0.0001 时写成“&lt;0.0001”。UCS 对碳酸钙含量同时做线性拟合和幂函数拟合。Pearson 相关矩阵包含 8 个参数和 7 个指标，共 15 阶。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validators.py 分三层检查导入数据：表头能否映射到标准字段、数值是否落在物理区间、样本是否自相矛盾（例如固化后干密度低于初始干密度）。表头同时接受英文键和中文名。结构或区间错误的行被拒绝；一致性问题记为警告，仍允许入库。synthetic.py 用上述机理公式生成 48 条带可控噪声的示范样本，并故意放入离群点，供界面演示和验收脚本使用；该文件同时写明样本是合成数据，不能代替实测数据库。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D78"/>
          <w:sz w:val="26"/>
        </w:rPr>
        <w:t>3.7  报告与前端中的同一套逻辑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report.py 不依赖绘图库，直接拼出带四幅 SVG 图的八章 HTML 报告，章节为方案参数、机理解释、预测分解、敏感性、模型评估、统计检验、配比优化和结论。前端 app.js 中的 mechanismBaseline() 按与 Python 相同的系数实现离线预测、OAT 和偏依赖；后端健康检查失败时，交叉验证、Morris、配比优化和报告生成会提示需要后端，其余面板仍可操作。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四、文档与源程序的对应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下列文档里的公式、接口和界面名称，都能在源程序或这次验收的返回值里找到。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592"/>
        <w:gridCol w:w="4592"/>
      </w:tblGrid>
      <w:tr>
        <w:tc>
          <w:tcPr>
            <w:tcW w:type="dxa" w:w="1928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文档</w:t>
            </w:r>
          </w:p>
        </w:tc>
        <w:tc>
          <w:tcPr>
            <w:tcW w:type="dxa" w:w="7257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与源程序的对应关系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设计说明书</w:t>
            </w:r>
          </w:p>
        </w:tc>
        <w:tc>
          <w:tcPr>
            <w:tcW w:type="dxa" w:w="72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3 章按 mechanism.py、models.py、evaluation.py、sensitivity.py、optimizer.py、statistics.py 写出公式、系数和函数；第 5 章为 db.py 的八张表；第 7 章为 server.py 的 22 个接口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流程图</w:t>
            </w:r>
          </w:p>
        </w:tc>
        <w:tc>
          <w:tcPr>
            <w:tcW w:type="dxa" w:w="72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六幅流程图对应总体业务、机理计算链、预测解析、CSV 校验、配比优化、训练与版本管理，图中判断条件和源程序分支一致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用户操作手册</w:t>
            </w:r>
          </w:p>
        </w:tc>
        <w:tc>
          <w:tcPr>
            <w:tcW w:type="dxa" w:w="72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按页面上 00～09 十个面板逐步说明，控件名称与 index.html 中的按钮、下拉框一致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测试报告</w:t>
            </w:r>
          </w:p>
        </w:tc>
        <w:tc>
          <w:tcPr>
            <w:tcW w:type="dxa" w:w="72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由 scripts/run_acceptance.py 调用全部接口后自动生成，31 个用例均写入本次运行的状态码、关键返回值和耗时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截图及截图说明</w:t>
            </w:r>
          </w:p>
        </w:tc>
        <w:tc>
          <w:tcPr>
            <w:tcW w:type="dxa" w:w="72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18 张 PNG 为浏览器原生视口截取的运行界面，分别对应预测分解、交叉验证、Morris、Pareto、方差分析和报告预览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部署说明</w:t>
            </w:r>
          </w:p>
        </w:tc>
        <w:tc>
          <w:tcPr>
            <w:tcW w:type="dxa" w:w="725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写明本地启动、Gunicorn 与 Nginx、数据库路径 backend/data/micp.db</w:t>
            </w:r>
          </w:p>
        </w:tc>
      </w:tr>
    </w:tbl>
    <w:p>
      <w:pPr>
        <w:spacing w:after="8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测试报告里可直接核对的数字：TC-13 为三种学习器的交叉验证指标；TC-17 中纤维增韧方案 B 的无侧限抗压强度为 520.3 kPa，等于机理基线 522.5 kPa 加上残差 －2.2 kPa；TC-20 中胶结液浓度的扫描曲线在 1.76 mol/L 附近达到峰值后下降；TC-23 为包络内搜索得到的非支配前沿；TC-26 为纤维掺量对崩解率的方差分析。这些数是 scripts/run_acceptance.py 一次运行写进报告的，不是事后填入的。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五、源程序鉴别材料的收录范围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下表只计业务代码的物理行数，合计 5 861 行。README、依赖清单、样式表和第三方库没有计入。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061"/>
        <w:gridCol w:w="3061"/>
        <w:gridCol w:w="3061"/>
      </w:tblGrid>
      <w:tr>
        <w:tc>
          <w:tcPr>
            <w:tcW w:type="dxa" w:w="4309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1134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行数</w:t>
            </w:r>
          </w:p>
        </w:tc>
        <w:tc>
          <w:tcPr>
            <w:tcW w:type="dxa" w:w="3742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在软件中的作用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backend/micp/mechanism.py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329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MICP 机理链条与机理解释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backend/micp/report.py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323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八章 HTML 报告与 SVG 图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backend/micp/statistics.py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256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异常值、方差分析、相关与回归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backend/micp/optimizer.py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248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拉丁超立方、高斯细化与 Pareto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backend/micp/models.py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237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残差学习、分解与物理裁剪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backend/micp/__init__.py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199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训练、预测、优化的统一入口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backend/micp/sensitivity.py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183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OAT、偏依赖、Morris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backend/micp/schemas.py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163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参数、指标、特征字典与表头别名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backend/micp/evaluation.py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142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自适应 K 折与基线对照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backend/micp/validators.py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127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三层校验与 CSV 解析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backend/micp/synthetic.py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126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机理公式示范样本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backend/db.py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474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八张表及按项目隔离的存取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backend/server.py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436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22 个 REST 接口与统一错误处理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backend/ml.py、wsgi.py、bootstrap_admin.py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兼容入口、WSGI、管理员初始化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backend/static/app.js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1 923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十个面板、离线机理模型与绘图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backend/templates/index.html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640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页面结构与面板分区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13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5 861</w:t>
            </w:r>
          </w:p>
        </w:tc>
        <w:tc>
          <w:tcPr>
            <w:tcW w:type="dxa" w:w="374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本次源程序鉴别材料的全部收录行</w:t>
            </w:r>
          </w:p>
        </w:tc>
      </w:tr>
    </w:tbl>
    <w:p>
      <w:pPr>
        <w:spacing w:after="8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源程序页每页 50 行，页眉为软件全称和版本号 V1.0，页码连续。前 30 页与后 30 页的文件顺序与上表相同。全量清单用的是同一批文件。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六、对照表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061"/>
        <w:gridCol w:w="3061"/>
        <w:gridCol w:w="3061"/>
      </w:tblGrid>
      <w:tr>
        <w:tc>
          <w:tcPr>
            <w:tcW w:type="dxa" w:w="2608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3175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源程序位置</w:t>
            </w:r>
          </w:p>
        </w:tc>
        <w:tc>
          <w:tcPr>
            <w:tcW w:type="dxa" w:w="3402"/>
            <w:shd w:fill="E6F1EC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sz w:val="21"/>
              </w:rPr>
              <w:t>文档与运行结果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碳酸钙逐轮生成、孔隙堵塞、纤维单峰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mechanism.py 的逐轮循环与纤维桥接函数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设计说明书 3.1；截图 05 的机理解释链条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预测可拆成机理部分与数据修正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models.py 的 decompose()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设计说明书 3.2；测试报告 TC-17；截图 05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小样本时退回纯机理，并与基线比较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evaluation.py、resolve_model()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测试报告 TC-14、TC-16；截图 07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主效应与交互效应分开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sensitivity.py 的 μ*、σ、σ/μ*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设计说明书 3.4；截图 08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配比搜索限制在已有样本的参数范围内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optimizer.py 的样本包络与非支配前沿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设计说明书 3.5；截图 09；测试报告 TC-23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异常值、方差分析、UCS 与碳酸钙关系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statistics.py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截图 11、18；测试报告 TC-26、TC-27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导入数据按行给出可核对的错误</w:t>
            </w:r>
          </w:p>
        </w:tc>
        <w:tc>
          <w:tcPr>
            <w:tcW w:type="dxa" w:w="317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validators.py</w:t>
            </w:r>
          </w:p>
        </w:tc>
        <w:tc>
          <w:tcPr>
            <w:tcW w:type="dxa" w:w="340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截图 04；测试报告 TC-09～TC-12</w:t>
            </w:r>
          </w:p>
        </w:tc>
      </w:tr>
    </w:tbl>
    <w:p>
      <w:pPr>
        <w:spacing w:after="80"/>
      </w:pP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七、说明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验收数字以 docs/测试报告.md 中 2026 年 10 月 26 日的自动运行结果为准。同一数据集上再次执行 scripts/run_acceptance.py，指标可以复现。synthetic.py 生成的 48 条样本按机理公式加噪声得到，只用于演示和回归测试，不是某一工程的实测值。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sz w:val="24"/>
        </w:rPr>
        <w:t>参考文献说明试验现象和所用算法的出处。MechanismConstants、树的棵数、学习率、隐层宽度、成本单价和物理裁剪界限由本软件设定，不能从这些文献中逐项抄出。著作权人、开发完成日期和发表情况以申请表为准。</w:t>
      </w:r>
    </w:p>
    <w:p>
      <w:pPr>
        <w:spacing w:before="280" w:after="120" w:line="288" w:lineRule="auto"/>
      </w:pPr>
      <w:r>
        <w:rPr>
          <w:rFonts w:ascii="黑体" w:hAnsi="黑体" w:eastAsia="黑体"/>
          <w:b/>
          <w:color w:val="0F6A52"/>
          <w:sz w:val="32"/>
        </w:rPr>
        <w:t>参考文献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[1] DeJong J T, Fritzges M B, Nüsslein K. Microbially induced cementation to control sand response to undrained shear[J]. Journal of Geotechnical and Geoenvironmental Engineering, 2006, 132(11): 1381-1392.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[2] Whiffin V S, van Paassen L A, Harkes M P. Microbial carbonate precipitation as a soil improvement technique[J]. Geomicrobiology Journal, 2007, 24(5): 417-423.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[3] Al Qabany A, Soga K, Santamarina C. Factors affecting efficiency of microbially induced calcite precipitation[J]. Journal of Geotechnical and Geoenvironmental Engineering, 2012, 138(8): 992-1001.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[4] Joga S P R, Mallikarjuna Rao K. Influence of shear strength parameters on loose fine sand treated with coir fiber and microbially induced calcite precipitation[J]. Discover Geoscience, 2024. DOI: 10.1007/s44288-024-00071-9.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[5] Carman P C. Flow of gases through porous media[M]. London: Butterworths, 1956.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[6] Carrier W D III. Goodbye, Hazen; Hello, Kozeny-Carman[J]. Journal of Geotechnical and Geoenvironmental Engineering, 2003, 129(11): 1054-1056.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[7] Michaelis L, Menten M L. Die Kinetik der Invertinwirkung[J]. Biochemische Zeitschrift, 1913, 49: 333-369.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[8] 中华人民共和国住房和城乡建设部. 土工试验方法标准: GB/T 50123—2019[S]. 北京: 中国计划出版社, 2019.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[9] Morris M D. Factorial sampling plans for preliminary computational experiments[J]. Technometrics, 1991, 33(2): 161-174.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[10] Campolongo F, Cariboni J, Saltelli A. An effective screening design for sensitivity analysis of large models[J]. Environmental Modelling &amp; Software, 2007, 22(10): 1509-1518.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[11] McKay M D, Beckman R J, Conover W J. A comparison of three methods for selecting values of input variables in the analysis of output from a computer code[J]. Technometrics, 1979, 21(2): 239-245.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[12] Friedman J H. Greedy function approximation: a gradient boosting machine[J]. The Annals of Statistics, 2001, 29(5): 1189-1232.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[13] Breiman L. Random forests[J]. Machine Learning, 2001, 45(1): 5-32.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[14] Grubbs F E. Procedures for detecting outlying observations in samples[J]. Technometrics, 1969, 11(1): 1-21.</w:t>
      </w:r>
    </w:p>
    <w:p>
      <w:pPr>
        <w:spacing w:before="0" w:after="60" w:line="288" w:lineRule="auto"/>
        <w:ind w:left="420" w:hanging="420"/>
      </w:pPr>
      <w:r>
        <w:rPr>
          <w:rFonts w:ascii="宋体" w:hAnsi="宋体" w:eastAsia="宋体"/>
          <w:b w:val="0"/>
          <w:sz w:val="21"/>
        </w:rPr>
        <w:t>[15] Tukey J W. Exploratory data analysis[M]. Reading: Addison-Wesley, 1977.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>本文说明本次补正后源程序与文档的独创内容、对应关系及验证结果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4748B"/>
        <w:sz w:val="18"/>
      </w:rPr>
      <w:t>MICP-椰壳纤维协同固化砂土性能分析与预测系统 V1.0　补正补充说明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