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color w:val="1F3864"/>
          <w:sz w:val="52"/>
          <w:szCs w:val="52"/>
        </w:rPr>
        <w:t xml:space="preserve">Customer Churn &amp; Retention Analysis</w:t>
      </w:r>
    </w:p>
    <w:p>
      <w:pPr>
        <w:spacing w:after="600"/>
        <w:jc w:val="center"/>
      </w:pPr>
      <w:r>
        <w:rPr>
          <w:i/>
          <w:iCs/>
          <w:color w:val="595959"/>
          <w:sz w:val="26"/>
          <w:szCs w:val="26"/>
        </w:rPr>
        <w:t xml:space="preserve">Identifying At-Risk Customers and Revenue-Saving Interventions for a Telecom Provider</w:t>
      </w:r>
    </w:p>
    <w:p>
      <w:pPr>
        <w:spacing w:after="100"/>
        <w:jc w:val="center"/>
      </w:pPr>
      <w:r>
        <w:rPr>
          <w:color w:val="808080"/>
          <w:sz w:val="20"/>
          <w:szCs w:val="20"/>
        </w:rPr>
        <w:t xml:space="preserve">Prepared using Python (pandas, scikit-learn), SQL, and statistical modeling</w:t>
      </w:r>
    </w:p>
    <w:p>
      <w:pPr>
        <w:spacing w:after="100"/>
        <w:jc w:val="center"/>
      </w:pPr>
      <w:r>
        <w:rPr>
          <w:color w:val="808080"/>
          <w:sz w:val="20"/>
          <w:szCs w:val="20"/>
        </w:rPr>
        <w:t xml:space="preserve">Dataset: IBM Telco Customer Churn (7,043 customers, 21 features)</w:t>
      </w:r>
    </w:p>
    <w:p>
      <w:pPr>
        <w:jc w:val="center"/>
      </w:pPr>
      <w:r>
        <w:rPr>
          <w:color w:val="808080"/>
          <w:sz w:val="20"/>
          <w:szCs w:val="20"/>
        </w:rPr>
        <w:t xml:space="preserve">August 2026</w:t>
      </w:r>
    </w:p>
    <w:p>
      <w:r>
        <w:br w:type="page"/>
      </w:r>
    </w:p>
    <w:p>
      <w:pPr>
        <w:pStyle w:val="Heading1"/>
        <w:spacing w:after="150" w:before="300"/>
      </w:pPr>
      <w:r>
        <w:t xml:space="preserve">Executive Summary</w:t>
      </w:r>
    </w:p>
    <w:p>
      <w:pPr>
        <w:spacing w:after="160"/>
      </w:pPr>
      <w:r>
        <w:t xml:space="preserve">This project analyzes customer churn for a telecommunications provider using a real-world dataset of 7,043 customers. The goal was to identify which customers are at risk of leaving, understand the business drivers behind churn, and translate those insights into concrete retention actions. The analysis combines exploratory data analysis, SQL-based segmentation, and machine learning to produce a churn-risk score for every customer in the base.</w:t>
      </w:r>
    </w:p>
    <w:p>
      <w:pPr>
        <w:spacing w:after="160"/>
      </w:pPr>
      <w:r>
        <w:t xml:space="preserve">Headline findings:</w:t>
      </w:r>
    </w:p>
    <w:p>
      <w:pPr>
        <w:pStyle w:val="ListParagraph"/>
        <w:numPr>
          <w:ilvl w:val="0"/>
          <w:numId w:val="1"/>
        </w:numPr>
        <w:spacing w:after="80"/>
      </w:pPr>
      <w:r>
        <w:t xml:space="preserve">Overall churn rate is 26.5%, representing roughly $1.67M in annualized recurring revenue at risk.</w:t>
      </w:r>
    </w:p>
    <w:p>
      <w:pPr>
        <w:pStyle w:val="ListParagraph"/>
        <w:numPr>
          <w:ilvl w:val="0"/>
          <w:numId w:val="1"/>
        </w:numPr>
        <w:spacing w:after="80"/>
      </w:pPr>
      <w:r>
        <w:t xml:space="preserve">Contract type is the single strongest churn driver: month-to-month customers churn at 42.7%, versus 11.3% for one-year and 2.8% for two-year contracts.</w:t>
      </w:r>
    </w:p>
    <w:p>
      <w:pPr>
        <w:pStyle w:val="ListParagraph"/>
        <w:numPr>
          <w:ilvl w:val="0"/>
          <w:numId w:val="1"/>
        </w:numPr>
        <w:spacing w:after="80"/>
      </w:pPr>
      <w:r>
        <w:t xml:space="preserve">New customers are the highest-risk segment — 52.9% of customers in their first 6 months churn, more than 5x the rate of customers past 4 years of tenure.</w:t>
      </w:r>
    </w:p>
    <w:p>
      <w:pPr>
        <w:pStyle w:val="ListParagraph"/>
        <w:numPr>
          <w:ilvl w:val="0"/>
          <w:numId w:val="1"/>
        </w:numPr>
        <w:spacing w:after="80"/>
      </w:pPr>
      <w:r>
        <w:t xml:space="preserve">Fiber-optic internet subscribers churn at 41.9%, more than double the DSL rate (19.0%), despite paying the highest average bills — suggesting a price-to-value or service-quality gap.</w:t>
      </w:r>
    </w:p>
    <w:p>
      <w:pPr>
        <w:pStyle w:val="ListParagraph"/>
        <w:numPr>
          <w:ilvl w:val="0"/>
          <w:numId w:val="1"/>
        </w:numPr>
        <w:spacing w:after="80"/>
      </w:pPr>
      <w:r>
        <w:t xml:space="preserve">Customers paying by electronic check churn at 45.3%, nearly 3x the rate of customers on autopay (credit card or bank transfer).</w:t>
      </w:r>
    </w:p>
    <w:p>
      <w:pPr>
        <w:pStyle w:val="ListParagraph"/>
        <w:numPr>
          <w:ilvl w:val="0"/>
          <w:numId w:val="1"/>
        </w:numPr>
        <w:spacing w:after="80"/>
      </w:pPr>
      <w:r>
        <w:t xml:space="preserve">A Random Forest model predicts churn with 84.4% ROC-AUC and correctly flags 78% of customers who actually churn, enabling proactive, targeted retention outreach.</w:t>
      </w:r>
    </w:p>
    <w:p>
      <w:r>
        <w:br w:type="page"/>
      </w:r>
    </w:p>
    <w:p>
      <w:pPr>
        <w:pStyle w:val="Heading1"/>
        <w:spacing w:after="150" w:before="300"/>
      </w:pPr>
      <w:r>
        <w:t xml:space="preserve">Business Problem &amp; Objectives</w:t>
      </w:r>
    </w:p>
    <w:p>
      <w:pPr>
        <w:spacing w:after="160"/>
      </w:pPr>
      <w:r>
        <w:t xml:space="preserve">Customer acquisition costs far exceed retention costs in subscription businesses, making churn one of the most direct levers on profitability. The objectives of this analysis were to:</w:t>
      </w:r>
    </w:p>
    <w:p>
      <w:pPr>
        <w:pStyle w:val="ListParagraph"/>
        <w:numPr>
          <w:ilvl w:val="0"/>
          <w:numId w:val="1"/>
        </w:numPr>
        <w:spacing w:after="80"/>
      </w:pPr>
      <w:r>
        <w:t xml:space="preserve">Quantify the scale and revenue impact of customer churn.</w:t>
      </w:r>
    </w:p>
    <w:p>
      <w:pPr>
        <w:pStyle w:val="ListParagraph"/>
        <w:numPr>
          <w:ilvl w:val="0"/>
          <w:numId w:val="1"/>
        </w:numPr>
        <w:spacing w:after="80"/>
      </w:pPr>
      <w:r>
        <w:t xml:space="preserve">Identify which customer segments and behaviors are associated with higher churn risk.</w:t>
      </w:r>
    </w:p>
    <w:p>
      <w:pPr>
        <w:pStyle w:val="ListParagraph"/>
        <w:numPr>
          <w:ilvl w:val="0"/>
          <w:numId w:val="1"/>
        </w:numPr>
        <w:spacing w:after="80"/>
      </w:pPr>
      <w:r>
        <w:t xml:space="preserve">Build a predictive model that scores every customer's likelihood of churning.</w:t>
      </w:r>
    </w:p>
    <w:p>
      <w:pPr>
        <w:pStyle w:val="ListParagraph"/>
        <w:numPr>
          <w:ilvl w:val="0"/>
          <w:numId w:val="1"/>
        </w:numPr>
        <w:spacing w:after="80"/>
      </w:pPr>
      <w:r>
        <w:t xml:space="preserve">Translate findings into specific, actionable retention recommendations for the business.</w:t>
      </w:r>
    </w:p>
    <w:p>
      <w:pPr>
        <w:pStyle w:val="Heading1"/>
        <w:spacing w:after="150" w:before="300"/>
      </w:pPr>
      <w:r>
        <w:t xml:space="preserve">Data &amp; Methodology</w:t>
      </w:r>
    </w:p>
    <w:p>
      <w:pPr>
        <w:spacing w:after="160"/>
      </w:pPr>
      <w:r>
        <w:t xml:space="preserve">Dataset: IBM Telco Customer Churn — 7,043 customers across demographics, account information, subscribed services, billing details, and churn status (26.5% churned).</w:t>
      </w:r>
    </w:p>
    <w:p>
      <w:pPr>
        <w:spacing w:after="160"/>
      </w:pPr>
      <w:r>
        <w:t xml:space="preserve">Tools &amp; techniques:</w:t>
      </w:r>
    </w:p>
    <w:p>
      <w:pPr>
        <w:pStyle w:val="ListParagraph"/>
        <w:numPr>
          <w:ilvl w:val="0"/>
          <w:numId w:val="1"/>
        </w:numPr>
        <w:spacing w:after="80"/>
      </w:pPr>
      <w:r>
        <w:t xml:space="preserve">Python (pandas, NumPy) for data cleaning and feature engineering</w:t>
      </w:r>
    </w:p>
    <w:p>
      <w:pPr>
        <w:pStyle w:val="ListParagraph"/>
        <w:numPr>
          <w:ilvl w:val="0"/>
          <w:numId w:val="1"/>
        </w:numPr>
        <w:spacing w:after="80"/>
      </w:pPr>
      <w:r>
        <w:t xml:space="preserve">SQL (SQLite) for cohort- and segment-level aggregation queries</w:t>
      </w:r>
    </w:p>
    <w:p>
      <w:pPr>
        <w:pStyle w:val="ListParagraph"/>
        <w:numPr>
          <w:ilvl w:val="0"/>
          <w:numId w:val="1"/>
        </w:numPr>
        <w:spacing w:after="80"/>
      </w:pPr>
      <w:r>
        <w:t xml:space="preserve">Matplotlib / Seaborn for exploratory visualization</w:t>
      </w:r>
    </w:p>
    <w:p>
      <w:pPr>
        <w:pStyle w:val="ListParagraph"/>
        <w:numPr>
          <w:ilvl w:val="0"/>
          <w:numId w:val="1"/>
        </w:numPr>
        <w:spacing w:after="80"/>
      </w:pPr>
      <w:r>
        <w:t xml:space="preserve">Scikit-learn for predictive modeling (Logistic Regression, Random Forest)</w:t>
      </w:r>
    </w:p>
    <w:p>
      <w:pPr>
        <w:spacing w:after="160"/>
      </w:pPr>
      <w:r>
        <w:t xml:space="preserve">Data cleaning steps: converted TotalCharges to numeric (11 blank values from brand-new customers were set to 0), encoded the churn target as binary, and engineered three new features: tenure cohort buckets, count of subscribed add-on services, and average monthly spend.</w:t>
      </w:r>
    </w:p>
    <w:p>
      <w:r>
        <w:br w:type="page"/>
      </w:r>
    </w:p>
    <w:p>
      <w:pPr>
        <w:pStyle w:val="Heading1"/>
        <w:spacing w:after="150" w:before="300"/>
      </w:pPr>
      <w:r>
        <w:t xml:space="preserve">Exploratory Analysis: Who Is Churning, and Why</w:t>
      </w:r>
    </w:p>
    <w:p>
      <w:pPr>
        <w:pStyle w:val="Heading2"/>
        <w:spacing w:after="120" w:before="240"/>
      </w:pPr>
      <w:r>
        <w:t xml:space="preserve">Overall Churn Rate</w:t>
      </w:r>
    </w:p>
    <w:p>
      <w:pPr>
        <w:spacing w:after="200"/>
        <w:jc w:val="center"/>
      </w:pPr>
      <w:r>
        <w:drawing>
          <wp:inline distT="0" distB="0" distL="0" distR="0">
            <wp:extent cx="3048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3048000"/>
                    </a:xfrm>
                    <a:prstGeom prst="rect">
                      <a:avLst/>
                    </a:prstGeom>
                  </pic:spPr>
                </pic:pic>
              </a:graphicData>
            </a:graphic>
          </wp:inline>
        </w:drawing>
      </w:r>
    </w:p>
    <w:p>
      <w:pPr>
        <w:spacing w:after="260"/>
        <w:jc w:val="center"/>
      </w:pPr>
      <w:r>
        <w:rPr>
          <w:i/>
          <w:iCs/>
          <w:color w:val="595959"/>
          <w:sz w:val="18"/>
          <w:szCs w:val="18"/>
        </w:rPr>
        <w:t xml:space="preserve">Figure 1. 26.5% of the customer base has churned.</w:t>
      </w:r>
    </w:p>
    <w:p>
      <w:pPr>
        <w:pStyle w:val="Heading2"/>
        <w:spacing w:after="120" w:before="240"/>
      </w:pPr>
      <w:r>
        <w:t xml:space="preserve">Contract Type Is the Dominant Driver</w:t>
      </w:r>
    </w:p>
    <w:p>
      <w:pPr>
        <w:spacing w:after="200"/>
        <w:jc w:val="center"/>
      </w:pPr>
      <w:r>
        <w:drawing>
          <wp:inline distT="0" distB="0" distL="0" distR="0">
            <wp:extent cx="4000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857500"/>
                    </a:xfrm>
                    <a:prstGeom prst="rect">
                      <a:avLst/>
                    </a:prstGeom>
                  </pic:spPr>
                </pic:pic>
              </a:graphicData>
            </a:graphic>
          </wp:inline>
        </w:drawing>
      </w:r>
    </w:p>
    <w:p>
      <w:pPr>
        <w:spacing w:after="260"/>
        <w:jc w:val="center"/>
      </w:pPr>
      <w:r>
        <w:rPr>
          <w:i/>
          <w:iCs/>
          <w:color w:val="595959"/>
          <w:sz w:val="18"/>
          <w:szCs w:val="18"/>
        </w:rPr>
        <w:t xml:space="preserve">Figure 2. Churn falls sharply as contract commitment length increases.</w:t>
      </w:r>
    </w:p>
    <w:p>
      <w:pPr>
        <w:spacing w:after="160"/>
      </w:pPr>
      <w:r>
        <w:t xml:space="preserve">Month-to-month customers have no switching cost and churn at more than 3.7x the rate of annual contract holders, and over 15x the rate of two-year contract holders. Contract length is the clearest lever available for reducing churn.</w:t>
      </w:r>
    </w:p>
    <w:p>
      <w:pPr>
        <w:pStyle w:val="Heading2"/>
        <w:spacing w:after="120" w:before="240"/>
      </w:pPr>
      <w:r>
        <w:t xml:space="preserve">Tenure: The First 6 Months Are Critical</w:t>
      </w:r>
    </w:p>
    <w:p>
      <w:pPr>
        <w:spacing w:after="200"/>
        <w:jc w:val="center"/>
      </w:pPr>
      <w:r>
        <w:drawing>
          <wp:inline distT="0" distB="0" distL="0" distR="0">
            <wp:extent cx="4191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857500"/>
                    </a:xfrm>
                    <a:prstGeom prst="rect">
                      <a:avLst/>
                    </a:prstGeom>
                  </pic:spPr>
                </pic:pic>
              </a:graphicData>
            </a:graphic>
          </wp:inline>
        </w:drawing>
      </w:r>
    </w:p>
    <w:p>
      <w:pPr>
        <w:spacing w:after="260"/>
        <w:jc w:val="center"/>
      </w:pPr>
      <w:r>
        <w:rPr>
          <w:i/>
          <w:iCs/>
          <w:color w:val="595959"/>
          <w:sz w:val="18"/>
          <w:szCs w:val="18"/>
        </w:rPr>
        <w:t xml:space="preserve">Figure 3. Churn risk decreases steadily the longer a customer stays.</w:t>
      </w:r>
    </w:p>
    <w:p>
      <w:pPr>
        <w:spacing w:after="160"/>
      </w:pPr>
      <w:r>
        <w:t xml:space="preserve">Over half of customers who are less than 6 months in churn within that window. This 'early churn cliff' suggests onboarding and early-lifecycle engagement is where retention investment has the highest leverage.</w:t>
      </w:r>
    </w:p>
    <w:p>
      <w:pPr>
        <w:pStyle w:val="Heading2"/>
        <w:spacing w:after="120" w:before="240"/>
      </w:pPr>
      <w:r>
        <w:t xml:space="preserve">Pricing and Service Type</w:t>
      </w:r>
    </w:p>
    <w:p>
      <w:pPr>
        <w:spacing w:after="200"/>
        <w:jc w:val="center"/>
      </w:pPr>
      <w:r>
        <w:drawing>
          <wp:inline distT="0" distB="0" distL="0" distR="0">
            <wp:extent cx="4000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857500"/>
                    </a:xfrm>
                    <a:prstGeom prst="rect">
                      <a:avLst/>
                    </a:prstGeom>
                  </pic:spPr>
                </pic:pic>
              </a:graphicData>
            </a:graphic>
          </wp:inline>
        </w:drawing>
      </w:r>
    </w:p>
    <w:p>
      <w:pPr>
        <w:spacing w:after="260"/>
        <w:jc w:val="center"/>
      </w:pPr>
      <w:r>
        <w:rPr>
          <w:i/>
          <w:iCs/>
          <w:color w:val="595959"/>
          <w:sz w:val="18"/>
          <w:szCs w:val="18"/>
        </w:rPr>
        <w:t xml:space="preserve">Figure 4. Churned customers skew toward higher monthly bills.</w:t>
      </w:r>
    </w:p>
    <w:p>
      <w:pPr>
        <w:spacing w:after="200"/>
        <w:jc w:val="center"/>
      </w:pPr>
      <w:r>
        <w:drawing>
          <wp:inline distT="0" distB="0" distL="0" distR="0">
            <wp:extent cx="4000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857500"/>
                    </a:xfrm>
                    <a:prstGeom prst="rect">
                      <a:avLst/>
                    </a:prstGeom>
                  </pic:spPr>
                </pic:pic>
              </a:graphicData>
            </a:graphic>
          </wp:inline>
        </w:drawing>
      </w:r>
    </w:p>
    <w:p>
      <w:pPr>
        <w:spacing w:after="260"/>
        <w:jc w:val="center"/>
      </w:pPr>
      <w:r>
        <w:rPr>
          <w:i/>
          <w:iCs/>
          <w:color w:val="595959"/>
          <w:sz w:val="18"/>
          <w:szCs w:val="18"/>
        </w:rPr>
        <w:t xml:space="preserve">Figure 5. Fiber-optic customers churn at more than double the DSL rate.</w:t>
      </w:r>
    </w:p>
    <w:p>
      <w:pPr>
        <w:spacing w:after="160"/>
      </w:pPr>
      <w:r>
        <w:t xml:space="preserve">Fiber customers pay the most on average but also churn the most, which points to a perceived value gap rather than a pure affordability issue — worth validating with customer satisfaction or NPS data if available.</w:t>
      </w:r>
    </w:p>
    <w:p>
      <w:pPr>
        <w:pStyle w:val="Heading2"/>
        <w:spacing w:after="120" w:before="240"/>
      </w:pPr>
      <w:r>
        <w:t xml:space="preserve">Service Adoption Increases Stickiness</w:t>
      </w:r>
    </w:p>
    <w:p>
      <w:pPr>
        <w:spacing w:after="200"/>
        <w:jc w:val="center"/>
      </w:pPr>
      <w:r>
        <w:drawing>
          <wp:inline distT="0" distB="0" distL="0" distR="0">
            <wp:extent cx="4191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857500"/>
                    </a:xfrm>
                    <a:prstGeom prst="rect">
                      <a:avLst/>
                    </a:prstGeom>
                  </pic:spPr>
                </pic:pic>
              </a:graphicData>
            </a:graphic>
          </wp:inline>
        </w:drawing>
      </w:r>
    </w:p>
    <w:p>
      <w:pPr>
        <w:spacing w:after="260"/>
        <w:jc w:val="center"/>
      </w:pPr>
      <w:r>
        <w:rPr>
          <w:i/>
          <w:iCs/>
          <w:color w:val="595959"/>
          <w:sz w:val="18"/>
          <w:szCs w:val="18"/>
        </w:rPr>
        <w:t xml:space="preserve">Figure 6. Customers with 5-6 add-on services churn at a fraction of the rate of those with 1 add-on.</w:t>
      </w:r>
    </w:p>
    <w:p>
      <w:pPr>
        <w:spacing w:after="160"/>
      </w:pPr>
      <w:r>
        <w:t xml:space="preserve">Customers with zero add-ons churn at a moderate 21.4%, but the highest-risk group is customers with just one add-on service (45.8% churn) — a segment that has started engaging but hasn't yet built enough switching cost to stay. Churn falls consistently from there as service adoption deepens.</w:t>
      </w:r>
    </w:p>
    <w:p>
      <w:pPr>
        <w:pStyle w:val="Heading2"/>
        <w:spacing w:after="120" w:before="240"/>
      </w:pPr>
      <w:r>
        <w:t xml:space="preserve">Payment Method</w:t>
      </w:r>
    </w:p>
    <w:p>
      <w:pPr>
        <w:spacing w:after="200"/>
        <w:jc w:val="center"/>
      </w:pPr>
      <w:r>
        <w:drawing>
          <wp:inline distT="0" distB="0" distL="0" distR="0">
            <wp:extent cx="4000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2857500"/>
                    </a:xfrm>
                    <a:prstGeom prst="rect">
                      <a:avLst/>
                    </a:prstGeom>
                  </pic:spPr>
                </pic:pic>
              </a:graphicData>
            </a:graphic>
          </wp:inline>
        </w:drawing>
      </w:r>
    </w:p>
    <w:p>
      <w:pPr>
        <w:spacing w:after="260"/>
        <w:jc w:val="center"/>
      </w:pPr>
      <w:r>
        <w:rPr>
          <w:i/>
          <w:iCs/>
          <w:color w:val="595959"/>
          <w:sz w:val="18"/>
          <w:szCs w:val="18"/>
        </w:rPr>
        <w:t xml:space="preserve">Figure 7. Manual electronic check payers churn nearly 3x more than autopay customers.</w:t>
      </w:r>
    </w:p>
    <w:p>
      <w:pPr>
        <w:pStyle w:val="Heading2"/>
        <w:spacing w:after="120" w:before="240"/>
      </w:pPr>
      <w:r>
        <w:t xml:space="preserve">Feature Correlations</w:t>
      </w:r>
    </w:p>
    <w:p>
      <w:pPr>
        <w:spacing w:after="200"/>
        <w:jc w:val="center"/>
      </w:pPr>
      <w:r>
        <w:drawing>
          <wp:inline distT="0" distB="0" distL="0" distR="0">
            <wp:extent cx="3619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19500" cy="3048000"/>
                    </a:xfrm>
                    <a:prstGeom prst="rect">
                      <a:avLst/>
                    </a:prstGeom>
                  </pic:spPr>
                </pic:pic>
              </a:graphicData>
            </a:graphic>
          </wp:inline>
        </w:drawing>
      </w:r>
    </w:p>
    <w:p>
      <w:pPr>
        <w:spacing w:after="260"/>
        <w:jc w:val="center"/>
      </w:pPr>
      <w:r>
        <w:rPr>
          <w:i/>
          <w:iCs/>
          <w:color w:val="595959"/>
          <w:sz w:val="18"/>
          <w:szCs w:val="18"/>
        </w:rPr>
        <w:t xml:space="preserve">Figure 8. Tenure is negatively correlated with churn; monthly charges are positively correlated.</w:t>
      </w:r>
    </w:p>
    <w:p>
      <w:r>
        <w:br w:type="page"/>
      </w:r>
    </w:p>
    <w:p>
      <w:pPr>
        <w:pStyle w:val="Heading1"/>
        <w:spacing w:after="150" w:before="300"/>
      </w:pPr>
      <w:r>
        <w:t xml:space="preserve">SQL Segment Analysis</w:t>
      </w:r>
    </w:p>
    <w:p>
      <w:pPr>
        <w:spacing w:after="160"/>
      </w:pPr>
      <w:r>
        <w:t xml:space="preserve">Cohort- and segment-level queries were run against the cleaned dataset (loaded into SQLite) to quantify risk and revenue exposure by segment.</w:t>
      </w:r>
    </w:p>
    <w:p>
      <w:pPr>
        <w:pStyle w:val="Heading2"/>
        <w:spacing w:after="120" w:before="240"/>
      </w:pPr>
      <w:r>
        <w:t xml:space="preserve">Churn Rate by Contract x Internet Service</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600"/>
        <w:gridCol w:w="1600"/>
        <w:gridCol w:w="2400"/>
      </w:tblGrid>
      <w:tr>
        <w:tc>
          <w:tcPr>
            <w:tcW w:type="dxa" w:w="2600"/>
            <w:shd w:fill="1F3864" w:val="clear"/>
            <w:vAlign w:val="center"/>
          </w:tcPr>
          <w:p>
            <w:r>
              <w:rPr>
                <w:b/>
                <w:bCs/>
                <w:color w:val="FFFFFF"/>
                <w:sz w:val="20"/>
                <w:szCs w:val="20"/>
              </w:rPr>
              <w:t xml:space="preserve">Contract</w:t>
            </w:r>
          </w:p>
        </w:tc>
        <w:tc>
          <w:tcPr>
            <w:tcW w:type="dxa" w:w="2400"/>
            <w:shd w:fill="1F3864" w:val="clear"/>
            <w:vAlign w:val="center"/>
          </w:tcPr>
          <w:p>
            <w:r>
              <w:rPr>
                <w:b/>
                <w:bCs/>
                <w:color w:val="FFFFFF"/>
                <w:sz w:val="20"/>
                <w:szCs w:val="20"/>
              </w:rPr>
              <w:t xml:space="preserve">Internet Service</w:t>
            </w:r>
          </w:p>
        </w:tc>
        <w:tc>
          <w:tcPr>
            <w:tcW w:type="dxa" w:w="1600"/>
            <w:shd w:fill="1F3864" w:val="clear"/>
            <w:vAlign w:val="center"/>
          </w:tcPr>
          <w:p>
            <w:r>
              <w:rPr>
                <w:b/>
                <w:bCs/>
                <w:color w:val="FFFFFF"/>
                <w:sz w:val="20"/>
                <w:szCs w:val="20"/>
              </w:rPr>
              <w:t xml:space="preserve">Customers</w:t>
            </w:r>
          </w:p>
        </w:tc>
        <w:tc>
          <w:tcPr>
            <w:tcW w:type="dxa" w:w="1600"/>
            <w:shd w:fill="1F3864" w:val="clear"/>
            <w:vAlign w:val="center"/>
          </w:tcPr>
          <w:p>
            <w:r>
              <w:rPr>
                <w:b/>
                <w:bCs/>
                <w:color w:val="FFFFFF"/>
                <w:sz w:val="20"/>
                <w:szCs w:val="20"/>
              </w:rPr>
              <w:t xml:space="preserve">Churn Rate</w:t>
            </w:r>
          </w:p>
        </w:tc>
        <w:tc>
          <w:tcPr>
            <w:tcW w:type="dxa" w:w="2400"/>
            <w:shd w:fill="1F3864" w:val="clear"/>
            <w:vAlign w:val="center"/>
          </w:tcPr>
          <w:p>
            <w:r>
              <w:rPr>
                <w:b/>
                <w:bCs/>
                <w:color w:val="FFFFFF"/>
                <w:sz w:val="20"/>
                <w:szCs w:val="20"/>
              </w:rPr>
              <w:t xml:space="preserve">Avg. Monthly Charge</w:t>
            </w:r>
          </w:p>
        </w:tc>
      </w:tr>
      <w:tr>
        <w:tc>
          <w:tcPr>
            <w:tcW w:type="dxa" w:w="2600"/>
            <w:vAlign w:val="center"/>
          </w:tcPr>
          <w:p>
            <w:r>
              <w:rPr>
                <w:b w:val="false"/>
                <w:bCs w:val="false"/>
                <w:color w:val="000000"/>
                <w:sz w:val="20"/>
                <w:szCs w:val="20"/>
              </w:rPr>
              <w:t xml:space="preserve">Month-to-month</w:t>
            </w:r>
          </w:p>
        </w:tc>
        <w:tc>
          <w:tcPr>
            <w:tcW w:type="dxa" w:w="2400"/>
            <w:vAlign w:val="center"/>
          </w:tcPr>
          <w:p>
            <w:r>
              <w:rPr>
                <w:b w:val="false"/>
                <w:bCs w:val="false"/>
                <w:color w:val="000000"/>
                <w:sz w:val="20"/>
                <w:szCs w:val="20"/>
              </w:rPr>
              <w:t xml:space="preserve">Fiber optic</w:t>
            </w:r>
          </w:p>
        </w:tc>
        <w:tc>
          <w:tcPr>
            <w:tcW w:type="dxa" w:w="1600"/>
            <w:vAlign w:val="center"/>
          </w:tcPr>
          <w:p>
            <w:r>
              <w:rPr>
                <w:b w:val="false"/>
                <w:bCs w:val="false"/>
                <w:color w:val="000000"/>
                <w:sz w:val="20"/>
                <w:szCs w:val="20"/>
              </w:rPr>
              <w:t xml:space="preserve">2,128</w:t>
            </w:r>
          </w:p>
        </w:tc>
        <w:tc>
          <w:tcPr>
            <w:tcW w:type="dxa" w:w="1600"/>
            <w:vAlign w:val="center"/>
          </w:tcPr>
          <w:p>
            <w:r>
              <w:rPr>
                <w:b w:val="false"/>
                <w:bCs w:val="false"/>
                <w:color w:val="000000"/>
                <w:sz w:val="20"/>
                <w:szCs w:val="20"/>
              </w:rPr>
              <w:t xml:space="preserve">54.6%</w:t>
            </w:r>
          </w:p>
        </w:tc>
        <w:tc>
          <w:tcPr>
            <w:tcW w:type="dxa" w:w="2400"/>
            <w:vAlign w:val="center"/>
          </w:tcPr>
          <w:p>
            <w:r>
              <w:rPr>
                <w:b w:val="false"/>
                <w:bCs w:val="false"/>
                <w:color w:val="000000"/>
                <w:sz w:val="20"/>
                <w:szCs w:val="20"/>
              </w:rPr>
              <w:t xml:space="preserve">$87.02</w:t>
            </w:r>
          </w:p>
        </w:tc>
      </w:tr>
      <w:tr>
        <w:tc>
          <w:tcPr>
            <w:tcW w:type="dxa" w:w="2600"/>
            <w:vAlign w:val="center"/>
          </w:tcPr>
          <w:p>
            <w:r>
              <w:rPr>
                <w:b w:val="false"/>
                <w:bCs w:val="false"/>
                <w:color w:val="000000"/>
                <w:sz w:val="20"/>
                <w:szCs w:val="20"/>
              </w:rPr>
              <w:t xml:space="preserve">Month-to-month</w:t>
            </w:r>
          </w:p>
        </w:tc>
        <w:tc>
          <w:tcPr>
            <w:tcW w:type="dxa" w:w="2400"/>
            <w:vAlign w:val="center"/>
          </w:tcPr>
          <w:p>
            <w:r>
              <w:rPr>
                <w:b w:val="false"/>
                <w:bCs w:val="false"/>
                <w:color w:val="000000"/>
                <w:sz w:val="20"/>
                <w:szCs w:val="20"/>
              </w:rPr>
              <w:t xml:space="preserve">DSL</w:t>
            </w:r>
          </w:p>
        </w:tc>
        <w:tc>
          <w:tcPr>
            <w:tcW w:type="dxa" w:w="1600"/>
            <w:vAlign w:val="center"/>
          </w:tcPr>
          <w:p>
            <w:r>
              <w:rPr>
                <w:b w:val="false"/>
                <w:bCs w:val="false"/>
                <w:color w:val="000000"/>
                <w:sz w:val="20"/>
                <w:szCs w:val="20"/>
              </w:rPr>
              <w:t xml:space="preserve">1,223</w:t>
            </w:r>
          </w:p>
        </w:tc>
        <w:tc>
          <w:tcPr>
            <w:tcW w:type="dxa" w:w="1600"/>
            <w:vAlign w:val="center"/>
          </w:tcPr>
          <w:p>
            <w:r>
              <w:rPr>
                <w:b w:val="false"/>
                <w:bCs w:val="false"/>
                <w:color w:val="000000"/>
                <w:sz w:val="20"/>
                <w:szCs w:val="20"/>
              </w:rPr>
              <w:t xml:space="preserve">32.2%</w:t>
            </w:r>
          </w:p>
        </w:tc>
        <w:tc>
          <w:tcPr>
            <w:tcW w:type="dxa" w:w="2400"/>
            <w:vAlign w:val="center"/>
          </w:tcPr>
          <w:p>
            <w:r>
              <w:rPr>
                <w:b w:val="false"/>
                <w:bCs w:val="false"/>
                <w:color w:val="000000"/>
                <w:sz w:val="20"/>
                <w:szCs w:val="20"/>
              </w:rPr>
              <w:t xml:space="preserve">$50.22</w:t>
            </w:r>
          </w:p>
        </w:tc>
      </w:tr>
      <w:tr>
        <w:tc>
          <w:tcPr>
            <w:tcW w:type="dxa" w:w="2600"/>
            <w:vAlign w:val="center"/>
          </w:tcPr>
          <w:p>
            <w:r>
              <w:rPr>
                <w:b w:val="false"/>
                <w:bCs w:val="false"/>
                <w:color w:val="000000"/>
                <w:sz w:val="20"/>
                <w:szCs w:val="20"/>
              </w:rPr>
              <w:t xml:space="preserve">One year</w:t>
            </w:r>
          </w:p>
        </w:tc>
        <w:tc>
          <w:tcPr>
            <w:tcW w:type="dxa" w:w="2400"/>
            <w:vAlign w:val="center"/>
          </w:tcPr>
          <w:p>
            <w:r>
              <w:rPr>
                <w:b w:val="false"/>
                <w:bCs w:val="false"/>
                <w:color w:val="000000"/>
                <w:sz w:val="20"/>
                <w:szCs w:val="20"/>
              </w:rPr>
              <w:t xml:space="preserve">Fiber optic</w:t>
            </w:r>
          </w:p>
        </w:tc>
        <w:tc>
          <w:tcPr>
            <w:tcW w:type="dxa" w:w="1600"/>
            <w:vAlign w:val="center"/>
          </w:tcPr>
          <w:p>
            <w:r>
              <w:rPr>
                <w:b w:val="false"/>
                <w:bCs w:val="false"/>
                <w:color w:val="000000"/>
                <w:sz w:val="20"/>
                <w:szCs w:val="20"/>
              </w:rPr>
              <w:t xml:space="preserve">539</w:t>
            </w:r>
          </w:p>
        </w:tc>
        <w:tc>
          <w:tcPr>
            <w:tcW w:type="dxa" w:w="1600"/>
            <w:vAlign w:val="center"/>
          </w:tcPr>
          <w:p>
            <w:r>
              <w:rPr>
                <w:b w:val="false"/>
                <w:bCs w:val="false"/>
                <w:color w:val="000000"/>
                <w:sz w:val="20"/>
                <w:szCs w:val="20"/>
              </w:rPr>
              <w:t xml:space="preserve">19.3%</w:t>
            </w:r>
          </w:p>
        </w:tc>
        <w:tc>
          <w:tcPr>
            <w:tcW w:type="dxa" w:w="2400"/>
            <w:vAlign w:val="center"/>
          </w:tcPr>
          <w:p>
            <w:r>
              <w:rPr>
                <w:b w:val="false"/>
                <w:bCs w:val="false"/>
                <w:color w:val="000000"/>
                <w:sz w:val="20"/>
                <w:szCs w:val="20"/>
              </w:rPr>
              <w:t xml:space="preserve">$98.78</w:t>
            </w:r>
          </w:p>
        </w:tc>
      </w:tr>
      <w:tr>
        <w:tc>
          <w:tcPr>
            <w:tcW w:type="dxa" w:w="2600"/>
            <w:vAlign w:val="center"/>
          </w:tcPr>
          <w:p>
            <w:r>
              <w:rPr>
                <w:b w:val="false"/>
                <w:bCs w:val="false"/>
                <w:color w:val="000000"/>
                <w:sz w:val="20"/>
                <w:szCs w:val="20"/>
              </w:rPr>
              <w:t xml:space="preserve">Month-to-month</w:t>
            </w:r>
          </w:p>
        </w:tc>
        <w:tc>
          <w:tcPr>
            <w:tcW w:type="dxa" w:w="2400"/>
            <w:vAlign w:val="center"/>
          </w:tcPr>
          <w:p>
            <w:r>
              <w:rPr>
                <w:b w:val="false"/>
                <w:bCs w:val="false"/>
                <w:color w:val="000000"/>
                <w:sz w:val="20"/>
                <w:szCs w:val="20"/>
              </w:rPr>
              <w:t xml:space="preserve">No internet</w:t>
            </w:r>
          </w:p>
        </w:tc>
        <w:tc>
          <w:tcPr>
            <w:tcW w:type="dxa" w:w="1600"/>
            <w:vAlign w:val="center"/>
          </w:tcPr>
          <w:p>
            <w:r>
              <w:rPr>
                <w:b w:val="false"/>
                <w:bCs w:val="false"/>
                <w:color w:val="000000"/>
                <w:sz w:val="20"/>
                <w:szCs w:val="20"/>
              </w:rPr>
              <w:t xml:space="preserve">524</w:t>
            </w:r>
          </w:p>
        </w:tc>
        <w:tc>
          <w:tcPr>
            <w:tcW w:type="dxa" w:w="1600"/>
            <w:vAlign w:val="center"/>
          </w:tcPr>
          <w:p>
            <w:r>
              <w:rPr>
                <w:b w:val="false"/>
                <w:bCs w:val="false"/>
                <w:color w:val="000000"/>
                <w:sz w:val="20"/>
                <w:szCs w:val="20"/>
              </w:rPr>
              <w:t xml:space="preserve">18.9%</w:t>
            </w:r>
          </w:p>
        </w:tc>
        <w:tc>
          <w:tcPr>
            <w:tcW w:type="dxa" w:w="2400"/>
            <w:vAlign w:val="center"/>
          </w:tcPr>
          <w:p>
            <w:r>
              <w:rPr>
                <w:b w:val="false"/>
                <w:bCs w:val="false"/>
                <w:color w:val="000000"/>
                <w:sz w:val="20"/>
                <w:szCs w:val="20"/>
              </w:rPr>
              <w:t xml:space="preserve">$20.41</w:t>
            </w:r>
          </w:p>
        </w:tc>
      </w:tr>
      <w:tr>
        <w:tc>
          <w:tcPr>
            <w:tcW w:type="dxa" w:w="2600"/>
            <w:vAlign w:val="center"/>
          </w:tcPr>
          <w:p>
            <w:r>
              <w:rPr>
                <w:b w:val="false"/>
                <w:bCs w:val="false"/>
                <w:color w:val="000000"/>
                <w:sz w:val="20"/>
                <w:szCs w:val="20"/>
              </w:rPr>
              <w:t xml:space="preserve">One year</w:t>
            </w:r>
          </w:p>
        </w:tc>
        <w:tc>
          <w:tcPr>
            <w:tcW w:type="dxa" w:w="2400"/>
            <w:vAlign w:val="center"/>
          </w:tcPr>
          <w:p>
            <w:r>
              <w:rPr>
                <w:b w:val="false"/>
                <w:bCs w:val="false"/>
                <w:color w:val="000000"/>
                <w:sz w:val="20"/>
                <w:szCs w:val="20"/>
              </w:rPr>
              <w:t xml:space="preserve">DSL</w:t>
            </w:r>
          </w:p>
        </w:tc>
        <w:tc>
          <w:tcPr>
            <w:tcW w:type="dxa" w:w="1600"/>
            <w:vAlign w:val="center"/>
          </w:tcPr>
          <w:p>
            <w:r>
              <w:rPr>
                <w:b w:val="false"/>
                <w:bCs w:val="false"/>
                <w:color w:val="000000"/>
                <w:sz w:val="20"/>
                <w:szCs w:val="20"/>
              </w:rPr>
              <w:t xml:space="preserve">570</w:t>
            </w:r>
          </w:p>
        </w:tc>
        <w:tc>
          <w:tcPr>
            <w:tcW w:type="dxa" w:w="1600"/>
            <w:vAlign w:val="center"/>
          </w:tcPr>
          <w:p>
            <w:r>
              <w:rPr>
                <w:b w:val="false"/>
                <w:bCs w:val="false"/>
                <w:color w:val="000000"/>
                <w:sz w:val="20"/>
                <w:szCs w:val="20"/>
              </w:rPr>
              <w:t xml:space="preserve">9.3%</w:t>
            </w:r>
          </w:p>
        </w:tc>
        <w:tc>
          <w:tcPr>
            <w:tcW w:type="dxa" w:w="2400"/>
            <w:vAlign w:val="center"/>
          </w:tcPr>
          <w:p>
            <w:r>
              <w:rPr>
                <w:b w:val="false"/>
                <w:bCs w:val="false"/>
                <w:color w:val="000000"/>
                <w:sz w:val="20"/>
                <w:szCs w:val="20"/>
              </w:rPr>
              <w:t xml:space="preserve">$61.40</w:t>
            </w:r>
          </w:p>
        </w:tc>
      </w:tr>
      <w:tr>
        <w:tc>
          <w:tcPr>
            <w:tcW w:type="dxa" w:w="2600"/>
            <w:vAlign w:val="center"/>
          </w:tcPr>
          <w:p>
            <w:r>
              <w:rPr>
                <w:b w:val="false"/>
                <w:bCs w:val="false"/>
                <w:color w:val="000000"/>
                <w:sz w:val="20"/>
                <w:szCs w:val="20"/>
              </w:rPr>
              <w:t xml:space="preserve">Two year</w:t>
            </w:r>
          </w:p>
        </w:tc>
        <w:tc>
          <w:tcPr>
            <w:tcW w:type="dxa" w:w="2400"/>
            <w:vAlign w:val="center"/>
          </w:tcPr>
          <w:p>
            <w:r>
              <w:rPr>
                <w:b w:val="false"/>
                <w:bCs w:val="false"/>
                <w:color w:val="000000"/>
                <w:sz w:val="20"/>
                <w:szCs w:val="20"/>
              </w:rPr>
              <w:t xml:space="preserve">Fiber optic</w:t>
            </w:r>
          </w:p>
        </w:tc>
        <w:tc>
          <w:tcPr>
            <w:tcW w:type="dxa" w:w="1600"/>
            <w:vAlign w:val="center"/>
          </w:tcPr>
          <w:p>
            <w:r>
              <w:rPr>
                <w:b w:val="false"/>
                <w:bCs w:val="false"/>
                <w:color w:val="000000"/>
                <w:sz w:val="20"/>
                <w:szCs w:val="20"/>
              </w:rPr>
              <w:t xml:space="preserve">429</w:t>
            </w:r>
          </w:p>
        </w:tc>
        <w:tc>
          <w:tcPr>
            <w:tcW w:type="dxa" w:w="1600"/>
            <w:vAlign w:val="center"/>
          </w:tcPr>
          <w:p>
            <w:r>
              <w:rPr>
                <w:b w:val="false"/>
                <w:bCs w:val="false"/>
                <w:color w:val="000000"/>
                <w:sz w:val="20"/>
                <w:szCs w:val="20"/>
              </w:rPr>
              <w:t xml:space="preserve">7.2%</w:t>
            </w:r>
          </w:p>
        </w:tc>
        <w:tc>
          <w:tcPr>
            <w:tcW w:type="dxa" w:w="2400"/>
            <w:vAlign w:val="center"/>
          </w:tcPr>
          <w:p>
            <w:r>
              <w:rPr>
                <w:b w:val="false"/>
                <w:bCs w:val="false"/>
                <w:color w:val="000000"/>
                <w:sz w:val="20"/>
                <w:szCs w:val="20"/>
              </w:rPr>
              <w:t xml:space="preserve">$104.57</w:t>
            </w:r>
          </w:p>
        </w:tc>
      </w:tr>
    </w:tbl>
    <w:p>
      <w:pPr>
        <w:spacing w:after="160"/>
      </w:pPr>
      <w:r>
        <w:t xml:space="preserve"> </w:t>
      </w:r>
    </w:p>
    <w:p>
      <w:pPr>
        <w:spacing w:after="160"/>
      </w:pPr>
      <w:r>
        <w:rPr>
          <w:b/>
          <w:bCs/>
        </w:rPr>
        <w:t xml:space="preserve">The highest-risk segment by far is month-to-month customers with fiber-optic internet — 2,128 customers churning at 54.6%. This single segment should be the top priority for a retention campaign.</w:t>
      </w:r>
    </w:p>
    <w:p>
      <w:pPr>
        <w:pStyle w:val="Heading2"/>
        <w:spacing w:after="120" w:before="240"/>
      </w:pPr>
      <w:r>
        <w:t xml:space="preserve">Revenue at Risk by Tenure Cohort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600"/>
      </w:tblGrid>
      <w:tr>
        <w:tc>
          <w:tcPr>
            <w:tcW w:type="dxa" w:w="2600"/>
            <w:shd w:fill="1F3864" w:val="clear"/>
            <w:vAlign w:val="center"/>
          </w:tcPr>
          <w:p>
            <w:r>
              <w:rPr>
                <w:b/>
                <w:bCs/>
                <w:color w:val="FFFFFF"/>
                <w:sz w:val="20"/>
                <w:szCs w:val="20"/>
              </w:rPr>
              <w:t xml:space="preserve">Tenure Cohort</w:t>
            </w:r>
          </w:p>
        </w:tc>
        <w:tc>
          <w:tcPr>
            <w:tcW w:type="dxa" w:w="2200"/>
            <w:shd w:fill="1F3864" w:val="clear"/>
            <w:vAlign w:val="center"/>
          </w:tcPr>
          <w:p>
            <w:r>
              <w:rPr>
                <w:b/>
                <w:bCs/>
                <w:color w:val="FFFFFF"/>
                <w:sz w:val="20"/>
                <w:szCs w:val="20"/>
              </w:rPr>
              <w:t xml:space="preserve">Customers</w:t>
            </w:r>
          </w:p>
        </w:tc>
        <w:tc>
          <w:tcPr>
            <w:tcW w:type="dxa" w:w="2200"/>
            <w:shd w:fill="1F3864" w:val="clear"/>
            <w:vAlign w:val="center"/>
          </w:tcPr>
          <w:p>
            <w:r>
              <w:rPr>
                <w:b/>
                <w:bCs/>
                <w:color w:val="FFFFFF"/>
                <w:sz w:val="20"/>
                <w:szCs w:val="20"/>
              </w:rPr>
              <w:t xml:space="preserve">Churn Rate</w:t>
            </w:r>
          </w:p>
        </w:tc>
        <w:tc>
          <w:tcPr>
            <w:tcW w:type="dxa" w:w="2600"/>
            <w:shd w:fill="1F3864" w:val="clear"/>
            <w:vAlign w:val="center"/>
          </w:tcPr>
          <w:p>
            <w:r>
              <w:rPr>
                <w:b/>
                <w:bCs/>
                <w:color w:val="FFFFFF"/>
                <w:sz w:val="20"/>
                <w:szCs w:val="20"/>
              </w:rPr>
              <w:t xml:space="preserve">Monthly Revenue at Risk</w:t>
            </w:r>
          </w:p>
        </w:tc>
      </w:tr>
      <w:tr>
        <w:tc>
          <w:tcPr>
            <w:tcW w:type="dxa" w:w="2600"/>
            <w:vAlign w:val="center"/>
          </w:tcPr>
          <w:p>
            <w:r>
              <w:rPr>
                <w:b w:val="false"/>
                <w:bCs w:val="false"/>
                <w:color w:val="000000"/>
                <w:sz w:val="20"/>
                <w:szCs w:val="20"/>
              </w:rPr>
              <w:t xml:space="preserve">0-6 months</w:t>
            </w:r>
          </w:p>
        </w:tc>
        <w:tc>
          <w:tcPr>
            <w:tcW w:type="dxa" w:w="2200"/>
            <w:vAlign w:val="center"/>
          </w:tcPr>
          <w:p>
            <w:r>
              <w:rPr>
                <w:b w:val="false"/>
                <w:bCs w:val="false"/>
                <w:color w:val="000000"/>
                <w:sz w:val="20"/>
                <w:szCs w:val="20"/>
              </w:rPr>
              <w:t xml:space="preserve">1,481</w:t>
            </w:r>
          </w:p>
        </w:tc>
        <w:tc>
          <w:tcPr>
            <w:tcW w:type="dxa" w:w="2200"/>
            <w:vAlign w:val="center"/>
          </w:tcPr>
          <w:p>
            <w:r>
              <w:rPr>
                <w:b w:val="false"/>
                <w:bCs w:val="false"/>
                <w:color w:val="000000"/>
                <w:sz w:val="20"/>
                <w:szCs w:val="20"/>
              </w:rPr>
              <w:t xml:space="preserve">52.9%</w:t>
            </w:r>
          </w:p>
        </w:tc>
        <w:tc>
          <w:tcPr>
            <w:tcW w:type="dxa" w:w="2600"/>
            <w:vAlign w:val="center"/>
          </w:tcPr>
          <w:p>
            <w:r>
              <w:rPr>
                <w:b w:val="false"/>
                <w:bCs w:val="false"/>
                <w:color w:val="000000"/>
                <w:sz w:val="20"/>
                <w:szCs w:val="20"/>
              </w:rPr>
              <w:t xml:space="preserve">$49,896</w:t>
            </w:r>
          </w:p>
        </w:tc>
      </w:tr>
      <w:tr>
        <w:tc>
          <w:tcPr>
            <w:tcW w:type="dxa" w:w="2600"/>
            <w:vAlign w:val="center"/>
          </w:tcPr>
          <w:p>
            <w:r>
              <w:rPr>
                <w:b w:val="false"/>
                <w:bCs w:val="false"/>
                <w:color w:val="000000"/>
                <w:sz w:val="20"/>
                <w:szCs w:val="20"/>
              </w:rPr>
              <w:t xml:space="preserve">7-12 months</w:t>
            </w:r>
          </w:p>
        </w:tc>
        <w:tc>
          <w:tcPr>
            <w:tcW w:type="dxa" w:w="2200"/>
            <w:vAlign w:val="center"/>
          </w:tcPr>
          <w:p>
            <w:r>
              <w:rPr>
                <w:b w:val="false"/>
                <w:bCs w:val="false"/>
                <w:color w:val="000000"/>
                <w:sz w:val="20"/>
                <w:szCs w:val="20"/>
              </w:rPr>
              <w:t xml:space="preserve">705</w:t>
            </w:r>
          </w:p>
        </w:tc>
        <w:tc>
          <w:tcPr>
            <w:tcW w:type="dxa" w:w="2200"/>
            <w:vAlign w:val="center"/>
          </w:tcPr>
          <w:p>
            <w:r>
              <w:rPr>
                <w:b w:val="false"/>
                <w:bCs w:val="false"/>
                <w:color w:val="000000"/>
                <w:sz w:val="20"/>
                <w:szCs w:val="20"/>
              </w:rPr>
              <w:t xml:space="preserve">35.9%</w:t>
            </w:r>
          </w:p>
        </w:tc>
        <w:tc>
          <w:tcPr>
            <w:tcW w:type="dxa" w:w="2600"/>
            <w:vAlign w:val="center"/>
          </w:tcPr>
          <w:p>
            <w:r>
              <w:rPr>
                <w:b w:val="false"/>
                <w:bCs w:val="false"/>
                <w:color w:val="000000"/>
                <w:sz w:val="20"/>
                <w:szCs w:val="20"/>
              </w:rPr>
              <w:t xml:space="preserve">$19,058</w:t>
            </w:r>
          </w:p>
        </w:tc>
      </w:tr>
      <w:tr>
        <w:tc>
          <w:tcPr>
            <w:tcW w:type="dxa" w:w="2600"/>
            <w:vAlign w:val="center"/>
          </w:tcPr>
          <w:p>
            <w:r>
              <w:rPr>
                <w:b w:val="false"/>
                <w:bCs w:val="false"/>
                <w:color w:val="000000"/>
                <w:sz w:val="20"/>
                <w:szCs w:val="20"/>
              </w:rPr>
              <w:t xml:space="preserve">13-24 months</w:t>
            </w:r>
          </w:p>
        </w:tc>
        <w:tc>
          <w:tcPr>
            <w:tcW w:type="dxa" w:w="2200"/>
            <w:vAlign w:val="center"/>
          </w:tcPr>
          <w:p>
            <w:r>
              <w:rPr>
                <w:b w:val="false"/>
                <w:bCs w:val="false"/>
                <w:color w:val="000000"/>
                <w:sz w:val="20"/>
                <w:szCs w:val="20"/>
              </w:rPr>
              <w:t xml:space="preserve">1,024</w:t>
            </w:r>
          </w:p>
        </w:tc>
        <w:tc>
          <w:tcPr>
            <w:tcW w:type="dxa" w:w="2200"/>
            <w:vAlign w:val="center"/>
          </w:tcPr>
          <w:p>
            <w:r>
              <w:rPr>
                <w:b w:val="false"/>
                <w:bCs w:val="false"/>
                <w:color w:val="000000"/>
                <w:sz w:val="20"/>
                <w:szCs w:val="20"/>
              </w:rPr>
              <w:t xml:space="preserve">28.7%</w:t>
            </w:r>
          </w:p>
        </w:tc>
        <w:tc>
          <w:tcPr>
            <w:tcW w:type="dxa" w:w="2600"/>
            <w:vAlign w:val="center"/>
          </w:tcPr>
          <w:p>
            <w:r>
              <w:rPr>
                <w:b w:val="false"/>
                <w:bCs w:val="false"/>
                <w:color w:val="000000"/>
                <w:sz w:val="20"/>
                <w:szCs w:val="20"/>
              </w:rPr>
              <w:t xml:space="preserve">$23,082</w:t>
            </w:r>
          </w:p>
        </w:tc>
      </w:tr>
      <w:tr>
        <w:tc>
          <w:tcPr>
            <w:tcW w:type="dxa" w:w="2600"/>
            <w:vAlign w:val="center"/>
          </w:tcPr>
          <w:p>
            <w:r>
              <w:rPr>
                <w:b w:val="false"/>
                <w:bCs w:val="false"/>
                <w:color w:val="000000"/>
                <w:sz w:val="20"/>
                <w:szCs w:val="20"/>
              </w:rPr>
              <w:t xml:space="preserve">25-48 months</w:t>
            </w:r>
          </w:p>
        </w:tc>
        <w:tc>
          <w:tcPr>
            <w:tcW w:type="dxa" w:w="2200"/>
            <w:vAlign w:val="center"/>
          </w:tcPr>
          <w:p>
            <w:r>
              <w:rPr>
                <w:b w:val="false"/>
                <w:bCs w:val="false"/>
                <w:color w:val="000000"/>
                <w:sz w:val="20"/>
                <w:szCs w:val="20"/>
              </w:rPr>
              <w:t xml:space="preserve">1,594</w:t>
            </w:r>
          </w:p>
        </w:tc>
        <w:tc>
          <w:tcPr>
            <w:tcW w:type="dxa" w:w="2200"/>
            <w:vAlign w:val="center"/>
          </w:tcPr>
          <w:p>
            <w:r>
              <w:rPr>
                <w:b w:val="false"/>
                <w:bCs w:val="false"/>
                <w:color w:val="000000"/>
                <w:sz w:val="20"/>
                <w:szCs w:val="20"/>
              </w:rPr>
              <w:t xml:space="preserve">20.4%</w:t>
            </w:r>
          </w:p>
        </w:tc>
        <w:tc>
          <w:tcPr>
            <w:tcW w:type="dxa" w:w="2600"/>
            <w:vAlign w:val="center"/>
          </w:tcPr>
          <w:p>
            <w:r>
              <w:rPr>
                <w:b w:val="false"/>
                <w:bCs w:val="false"/>
                <w:color w:val="000000"/>
                <w:sz w:val="20"/>
                <w:szCs w:val="20"/>
              </w:rPr>
              <w:t xml:space="preserve">$27,463</w:t>
            </w:r>
          </w:p>
        </w:tc>
      </w:tr>
      <w:tr>
        <w:tc>
          <w:tcPr>
            <w:tcW w:type="dxa" w:w="2600"/>
            <w:vAlign w:val="center"/>
          </w:tcPr>
          <w:p>
            <w:r>
              <w:rPr>
                <w:b w:val="false"/>
                <w:bCs w:val="false"/>
                <w:color w:val="000000"/>
                <w:sz w:val="20"/>
                <w:szCs w:val="20"/>
              </w:rPr>
              <w:t xml:space="preserve">49-72 months</w:t>
            </w:r>
          </w:p>
        </w:tc>
        <w:tc>
          <w:tcPr>
            <w:tcW w:type="dxa" w:w="2200"/>
            <w:vAlign w:val="center"/>
          </w:tcPr>
          <w:p>
            <w:r>
              <w:rPr>
                <w:b w:val="false"/>
                <w:bCs w:val="false"/>
                <w:color w:val="000000"/>
                <w:sz w:val="20"/>
                <w:szCs w:val="20"/>
              </w:rPr>
              <w:t xml:space="preserve">2,239</w:t>
            </w:r>
          </w:p>
        </w:tc>
        <w:tc>
          <w:tcPr>
            <w:tcW w:type="dxa" w:w="2200"/>
            <w:vAlign w:val="center"/>
          </w:tcPr>
          <w:p>
            <w:r>
              <w:rPr>
                <w:b w:val="false"/>
                <w:bCs w:val="false"/>
                <w:color w:val="000000"/>
                <w:sz w:val="20"/>
                <w:szCs w:val="20"/>
              </w:rPr>
              <w:t xml:space="preserve">9.5%</w:t>
            </w:r>
          </w:p>
        </w:tc>
        <w:tc>
          <w:tcPr>
            <w:tcW w:type="dxa" w:w="2600"/>
            <w:vAlign w:val="center"/>
          </w:tcPr>
          <w:p>
            <w:r>
              <w:rPr>
                <w:b w:val="false"/>
                <w:bCs w:val="false"/>
                <w:color w:val="000000"/>
                <w:sz w:val="20"/>
                <w:szCs w:val="20"/>
              </w:rPr>
              <w:t xml:space="preserve">$19,632</w:t>
            </w:r>
          </w:p>
        </w:tc>
      </w:tr>
    </w:tbl>
    <w:p>
      <w:pPr>
        <w:spacing w:after="160"/>
      </w:pPr>
      <w:r>
        <w:t xml:space="preserve"> </w:t>
      </w:r>
    </w:p>
    <w:p>
      <w:pPr>
        <w:spacing w:after="160"/>
      </w:pPr>
      <w:r>
        <w:t xml:space="preserve">New customers (0-6 months) represent the single largest pool of at-risk monthly revenue (~$50K/month) despite having the smallest average bills — driven purely by volume and churn rate, reinforcing the case for an onboarding-focused retention program.</w:t>
      </w:r>
    </w:p>
    <w:p>
      <w:r>
        <w:br w:type="page"/>
      </w:r>
    </w:p>
    <w:p>
      <w:pPr>
        <w:pStyle w:val="Heading1"/>
        <w:spacing w:after="150" w:before="300"/>
      </w:pPr>
      <w:r>
        <w:t xml:space="preserve">Predictive Modeling</w:t>
      </w:r>
    </w:p>
    <w:p>
      <w:pPr>
        <w:spacing w:after="160"/>
      </w:pPr>
      <w:r>
        <w:t xml:space="preserve">Two classification models were trained to predict churn probability for each customer, using an 80/20 train-test split stratified on the target. Class weights were balanced to account for the 26.5% / 73.5% class imbalance.</w:t>
      </w:r>
    </w:p>
    <w:p>
      <w:pPr>
        <w:pStyle w:val="Heading2"/>
        <w:spacing w:after="120" w:before="240"/>
      </w:pPr>
      <w:r>
        <w:t xml:space="preserve">Model Performance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600"/>
        <w:gridCol w:w="2200"/>
      </w:tblGrid>
      <w:tr>
        <w:tc>
          <w:tcPr>
            <w:tcW w:type="dxa" w:w="3000"/>
            <w:shd w:fill="1F3864" w:val="clear"/>
            <w:vAlign w:val="center"/>
          </w:tcPr>
          <w:p>
            <w:r>
              <w:rPr>
                <w:b/>
                <w:bCs/>
                <w:color w:val="FFFFFF"/>
                <w:sz w:val="20"/>
                <w:szCs w:val="20"/>
              </w:rPr>
              <w:t xml:space="preserve">Model</w:t>
            </w:r>
          </w:p>
        </w:tc>
        <w:tc>
          <w:tcPr>
            <w:tcW w:type="dxa" w:w="2200"/>
            <w:shd w:fill="1F3864" w:val="clear"/>
            <w:vAlign w:val="center"/>
          </w:tcPr>
          <w:p>
            <w:r>
              <w:rPr>
                <w:b/>
                <w:bCs/>
                <w:color w:val="FFFFFF"/>
                <w:sz w:val="20"/>
                <w:szCs w:val="20"/>
              </w:rPr>
              <w:t xml:space="preserve">ROC-AUC</w:t>
            </w:r>
          </w:p>
        </w:tc>
        <w:tc>
          <w:tcPr>
            <w:tcW w:type="dxa" w:w="2600"/>
            <w:shd w:fill="1F3864" w:val="clear"/>
            <w:vAlign w:val="center"/>
          </w:tcPr>
          <w:p>
            <w:r>
              <w:rPr>
                <w:b/>
                <w:bCs/>
                <w:color w:val="FFFFFF"/>
                <w:sz w:val="20"/>
                <w:szCs w:val="20"/>
              </w:rPr>
              <w:t xml:space="preserve">F1-Score (Churn)</w:t>
            </w:r>
          </w:p>
        </w:tc>
        <w:tc>
          <w:tcPr>
            <w:tcW w:type="dxa" w:w="2200"/>
            <w:shd w:fill="1F3864" w:val="clear"/>
            <w:vAlign w:val="center"/>
          </w:tcPr>
          <w:p>
            <w:r>
              <w:rPr>
                <w:b/>
                <w:bCs/>
                <w:color w:val="FFFFFF"/>
                <w:sz w:val="20"/>
                <w:szCs w:val="20"/>
              </w:rPr>
              <w:t xml:space="preserve">Recall (Churn)</w:t>
            </w:r>
          </w:p>
        </w:tc>
      </w:tr>
      <w:tr>
        <w:tc>
          <w:tcPr>
            <w:tcW w:type="dxa" w:w="3000"/>
            <w:vAlign w:val="center"/>
          </w:tcPr>
          <w:p>
            <w:r>
              <w:rPr>
                <w:b w:val="false"/>
                <w:bCs w:val="false"/>
                <w:color w:val="000000"/>
                <w:sz w:val="20"/>
                <w:szCs w:val="20"/>
              </w:rPr>
              <w:t xml:space="preserve">Logistic Regression</w:t>
            </w:r>
          </w:p>
        </w:tc>
        <w:tc>
          <w:tcPr>
            <w:tcW w:type="dxa" w:w="2200"/>
            <w:vAlign w:val="center"/>
          </w:tcPr>
          <w:p>
            <w:r>
              <w:rPr>
                <w:b w:val="false"/>
                <w:bCs w:val="false"/>
                <w:color w:val="000000"/>
                <w:sz w:val="20"/>
                <w:szCs w:val="20"/>
              </w:rPr>
              <w:t xml:space="preserve">0.841</w:t>
            </w:r>
          </w:p>
        </w:tc>
        <w:tc>
          <w:tcPr>
            <w:tcW w:type="dxa" w:w="2600"/>
            <w:vAlign w:val="center"/>
          </w:tcPr>
          <w:p>
            <w:r>
              <w:rPr>
                <w:b w:val="false"/>
                <w:bCs w:val="false"/>
                <w:color w:val="000000"/>
                <w:sz w:val="20"/>
                <w:szCs w:val="20"/>
              </w:rPr>
              <w:t xml:space="preserve">0.614</w:t>
            </w:r>
          </w:p>
        </w:tc>
        <w:tc>
          <w:tcPr>
            <w:tcW w:type="dxa" w:w="2200"/>
            <w:vAlign w:val="center"/>
          </w:tcPr>
          <w:p>
            <w:r>
              <w:rPr>
                <w:b w:val="false"/>
                <w:bCs w:val="false"/>
                <w:color w:val="000000"/>
                <w:sz w:val="20"/>
                <w:szCs w:val="20"/>
              </w:rPr>
              <w:t xml:space="preserve">78%</w:t>
            </w:r>
          </w:p>
        </w:tc>
      </w:tr>
      <w:tr>
        <w:tc>
          <w:tcPr>
            <w:tcW w:type="dxa" w:w="3000"/>
            <w:vAlign w:val="center"/>
          </w:tcPr>
          <w:p>
            <w:r>
              <w:rPr>
                <w:b w:val="false"/>
                <w:bCs w:val="false"/>
                <w:color w:val="000000"/>
                <w:sz w:val="20"/>
                <w:szCs w:val="20"/>
              </w:rPr>
              <w:t xml:space="preserve">Random Forest</w:t>
            </w:r>
          </w:p>
        </w:tc>
        <w:tc>
          <w:tcPr>
            <w:tcW w:type="dxa" w:w="2200"/>
            <w:vAlign w:val="center"/>
          </w:tcPr>
          <w:p>
            <w:r>
              <w:rPr>
                <w:b w:val="false"/>
                <w:bCs w:val="false"/>
                <w:color w:val="000000"/>
                <w:sz w:val="20"/>
                <w:szCs w:val="20"/>
              </w:rPr>
              <w:t xml:space="preserve">0.844</w:t>
            </w:r>
          </w:p>
        </w:tc>
        <w:tc>
          <w:tcPr>
            <w:tcW w:type="dxa" w:w="2600"/>
            <w:vAlign w:val="center"/>
          </w:tcPr>
          <w:p>
            <w:r>
              <w:rPr>
                <w:b w:val="false"/>
                <w:bCs w:val="false"/>
                <w:color w:val="000000"/>
                <w:sz w:val="20"/>
                <w:szCs w:val="20"/>
              </w:rPr>
              <w:t xml:space="preserve">0.621</w:t>
            </w:r>
          </w:p>
        </w:tc>
        <w:tc>
          <w:tcPr>
            <w:tcW w:type="dxa" w:w="2200"/>
            <w:vAlign w:val="center"/>
          </w:tcPr>
          <w:p>
            <w:r>
              <w:rPr>
                <w:b w:val="false"/>
                <w:bCs w:val="false"/>
                <w:color w:val="000000"/>
                <w:sz w:val="20"/>
                <w:szCs w:val="20"/>
              </w:rPr>
              <w:t xml:space="preserve">78%</w:t>
            </w:r>
          </w:p>
        </w:tc>
      </w:tr>
    </w:tbl>
    <w:p>
      <w:pPr>
        <w:spacing w:after="160"/>
      </w:pPr>
      <w:r>
        <w:t xml:space="preserve"> </w:t>
      </w:r>
    </w:p>
    <w:p>
      <w:pPr>
        <w:spacing w:after="160"/>
      </w:pPr>
      <w:r>
        <w:t xml:space="preserve">The Random Forest model was selected as the production model — it edges out logistic regression on every metric while still offering interpretable feature importances. It correctly identifies 78% of customers who will actually churn, which is what matters most for a proactive retention program (missing an at-risk customer is more costly than a false alarm).</w:t>
      </w:r>
    </w:p>
    <w:p>
      <w:pPr>
        <w:pStyle w:val="Heading2"/>
        <w:spacing w:after="120" w:before="240"/>
      </w:pPr>
      <w:r>
        <w:t xml:space="preserve">ROC Curve</w:t>
      </w:r>
    </w:p>
    <w:p>
      <w:pPr>
        <w:spacing w:after="200"/>
        <w:jc w:val="center"/>
      </w:pPr>
      <w:r>
        <w:drawing>
          <wp:inline distT="0" distB="0" distL="0" distR="0">
            <wp:extent cx="3619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0" cy="3238500"/>
                    </a:xfrm>
                    <a:prstGeom prst="rect">
                      <a:avLst/>
                    </a:prstGeom>
                  </pic:spPr>
                </pic:pic>
              </a:graphicData>
            </a:graphic>
          </wp:inline>
        </w:drawing>
      </w:r>
    </w:p>
    <w:p>
      <w:pPr>
        <w:spacing w:after="260"/>
        <w:jc w:val="center"/>
      </w:pPr>
      <w:r>
        <w:rPr>
          <w:i/>
          <w:iCs/>
          <w:color w:val="595959"/>
          <w:sz w:val="18"/>
          <w:szCs w:val="18"/>
        </w:rPr>
        <w:t xml:space="preserve">Figure 9. Both models substantially outperform random guessing (AUC = 0.5).</w:t>
      </w:r>
    </w:p>
    <w:p>
      <w:pPr>
        <w:pStyle w:val="Heading2"/>
        <w:spacing w:after="120" w:before="240"/>
      </w:pPr>
      <w:r>
        <w:t xml:space="preserve">Confusion Matrix (Random Forest)</w:t>
      </w:r>
    </w:p>
    <w:p>
      <w:pPr>
        <w:spacing w:after="200"/>
        <w:jc w:val="center"/>
      </w:pPr>
      <w:r>
        <w:drawing>
          <wp:inline distT="0" distB="0" distL="0" distR="0">
            <wp:extent cx="3238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0" cy="2857500"/>
                    </a:xfrm>
                    <a:prstGeom prst="rect">
                      <a:avLst/>
                    </a:prstGeom>
                  </pic:spPr>
                </pic:pic>
              </a:graphicData>
            </a:graphic>
          </wp:inline>
        </w:drawing>
      </w:r>
    </w:p>
    <w:p>
      <w:pPr>
        <w:spacing w:after="260"/>
        <w:jc w:val="center"/>
      </w:pPr>
      <w:r>
        <w:rPr>
          <w:i/>
          <w:iCs/>
          <w:color w:val="595959"/>
          <w:sz w:val="18"/>
          <w:szCs w:val="18"/>
        </w:rPr>
        <w:t xml:space="preserve">Figure 10. The model prioritizes catching true churners (recall) over avoiding false alarms, by design.</w:t>
      </w:r>
    </w:p>
    <w:p>
      <w:pPr>
        <w:pStyle w:val="Heading2"/>
        <w:spacing w:after="120" w:before="240"/>
      </w:pPr>
      <w:r>
        <w:t xml:space="preserve">Top Churn Drivers</w:t>
      </w:r>
    </w:p>
    <w:p>
      <w:pPr>
        <w:spacing w:after="200"/>
        <w:jc w:val="center"/>
      </w:pPr>
      <w:r>
        <w:drawing>
          <wp:inline distT="0" distB="0" distL="0" distR="0">
            <wp:extent cx="4191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191000" cy="3619500"/>
                    </a:xfrm>
                    <a:prstGeom prst="rect">
                      <a:avLst/>
                    </a:prstGeom>
                  </pic:spPr>
                </pic:pic>
              </a:graphicData>
            </a:graphic>
          </wp:inline>
        </w:drawing>
      </w:r>
    </w:p>
    <w:p>
      <w:pPr>
        <w:spacing w:after="260"/>
        <w:jc w:val="center"/>
      </w:pPr>
      <w:r>
        <w:rPr>
          <w:i/>
          <w:iCs/>
          <w:color w:val="595959"/>
          <w:sz w:val="18"/>
          <w:szCs w:val="18"/>
        </w:rPr>
        <w:t xml:space="preserve">Figure 11. Tenure, two-year contracts, total charges, and fiber-optic service are the strongest predictors.</w:t>
      </w:r>
    </w:p>
    <w:p>
      <w:pPr>
        <w:spacing w:after="160"/>
      </w:pPr>
      <w:r>
        <w:t xml:space="preserve">The model's top drivers align closely with the exploratory findings: how long a customer has been with the company, whether they're locked into a long-term contract, their total spend to date, and whether they subscribe to fiber internet.</w:t>
      </w:r>
    </w:p>
    <w:p>
      <w:pPr>
        <w:pStyle w:val="Heading2"/>
        <w:spacing w:after="120" w:before="240"/>
      </w:pPr>
      <w:r>
        <w:t xml:space="preserve">Deliverable: Customer Risk Scores</w:t>
      </w:r>
    </w:p>
    <w:p>
      <w:pPr>
        <w:spacing w:after="160"/>
      </w:pPr>
      <w:r>
        <w:t xml:space="preserve">Every customer in the dataset was scored with a churn probability and assigned to a risk tier, producing a ready-to-use action list for the retention/customer success team:</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00"/>
        <w:gridCol w:w="3600"/>
      </w:tblGrid>
      <w:tr>
        <w:tc>
          <w:tcPr>
            <w:tcW w:type="dxa" w:w="1800"/>
            <w:shd w:fill="1F3864" w:val="clear"/>
            <w:vAlign w:val="center"/>
          </w:tcPr>
          <w:p>
            <w:r>
              <w:rPr>
                <w:b/>
                <w:bCs/>
                <w:color w:val="FFFFFF"/>
                <w:sz w:val="20"/>
                <w:szCs w:val="20"/>
              </w:rPr>
              <w:t xml:space="preserve">Risk Tier</w:t>
            </w:r>
          </w:p>
        </w:tc>
        <w:tc>
          <w:tcPr>
            <w:tcW w:type="dxa" w:w="2400"/>
            <w:shd w:fill="1F3864" w:val="clear"/>
            <w:vAlign w:val="center"/>
          </w:tcPr>
          <w:p>
            <w:r>
              <w:rPr>
                <w:b/>
                <w:bCs/>
                <w:color w:val="FFFFFF"/>
                <w:sz w:val="20"/>
                <w:szCs w:val="20"/>
              </w:rPr>
              <w:t xml:space="preserve">Probability Range</w:t>
            </w:r>
          </w:p>
        </w:tc>
        <w:tc>
          <w:tcPr>
            <w:tcW w:type="dxa" w:w="2200"/>
            <w:shd w:fill="1F3864" w:val="clear"/>
            <w:vAlign w:val="center"/>
          </w:tcPr>
          <w:p>
            <w:r>
              <w:rPr>
                <w:b/>
                <w:bCs/>
                <w:color w:val="FFFFFF"/>
                <w:sz w:val="20"/>
                <w:szCs w:val="20"/>
              </w:rPr>
              <w:t xml:space="preserve">Customer Count</w:t>
            </w:r>
          </w:p>
        </w:tc>
        <w:tc>
          <w:tcPr>
            <w:tcW w:type="dxa" w:w="3600"/>
            <w:shd w:fill="1F3864" w:val="clear"/>
            <w:vAlign w:val="center"/>
          </w:tcPr>
          <w:p>
            <w:r>
              <w:rPr>
                <w:b/>
                <w:bCs/>
                <w:color w:val="FFFFFF"/>
                <w:sz w:val="20"/>
                <w:szCs w:val="20"/>
              </w:rPr>
              <w:t xml:space="preserve">Suggested Action</w:t>
            </w:r>
          </w:p>
        </w:tc>
      </w:tr>
      <w:tr>
        <w:tc>
          <w:tcPr>
            <w:tcW w:type="dxa" w:w="1800"/>
            <w:vAlign w:val="center"/>
          </w:tcPr>
          <w:p>
            <w:r>
              <w:rPr>
                <w:b w:val="false"/>
                <w:bCs w:val="false"/>
                <w:color w:val="000000"/>
                <w:sz w:val="20"/>
                <w:szCs w:val="20"/>
              </w:rPr>
              <w:t xml:space="preserve">High</w:t>
            </w:r>
          </w:p>
        </w:tc>
        <w:tc>
          <w:tcPr>
            <w:tcW w:type="dxa" w:w="2400"/>
            <w:vAlign w:val="center"/>
          </w:tcPr>
          <w:p>
            <w:r>
              <w:rPr>
                <w:b w:val="false"/>
                <w:bCs w:val="false"/>
                <w:color w:val="000000"/>
                <w:sz w:val="20"/>
                <w:szCs w:val="20"/>
              </w:rPr>
              <w:t xml:space="preserve">&gt; 60%</w:t>
            </w:r>
          </w:p>
        </w:tc>
        <w:tc>
          <w:tcPr>
            <w:tcW w:type="dxa" w:w="2200"/>
            <w:vAlign w:val="center"/>
          </w:tcPr>
          <w:p>
            <w:r>
              <w:rPr>
                <w:b w:val="false"/>
                <w:bCs w:val="false"/>
                <w:color w:val="000000"/>
                <w:sz w:val="20"/>
                <w:szCs w:val="20"/>
              </w:rPr>
              <w:t xml:space="preserve">2,101</w:t>
            </w:r>
          </w:p>
        </w:tc>
        <w:tc>
          <w:tcPr>
            <w:tcW w:type="dxa" w:w="3600"/>
            <w:vAlign w:val="center"/>
          </w:tcPr>
          <w:p>
            <w:r>
              <w:rPr>
                <w:b w:val="false"/>
                <w:bCs w:val="false"/>
                <w:color w:val="000000"/>
                <w:sz w:val="20"/>
                <w:szCs w:val="20"/>
              </w:rPr>
              <w:t xml:space="preserve">Proactive outreach, retention offer, contract upgrade incentive</w:t>
            </w:r>
          </w:p>
        </w:tc>
      </w:tr>
      <w:tr>
        <w:tc>
          <w:tcPr>
            <w:tcW w:type="dxa" w:w="1800"/>
            <w:vAlign w:val="center"/>
          </w:tcPr>
          <w:p>
            <w:r>
              <w:rPr>
                <w:b w:val="false"/>
                <w:bCs w:val="false"/>
                <w:color w:val="000000"/>
                <w:sz w:val="20"/>
                <w:szCs w:val="20"/>
              </w:rPr>
              <w:t xml:space="preserve">Medium</w:t>
            </w:r>
          </w:p>
        </w:tc>
        <w:tc>
          <w:tcPr>
            <w:tcW w:type="dxa" w:w="2400"/>
            <w:vAlign w:val="center"/>
          </w:tcPr>
          <w:p>
            <w:r>
              <w:rPr>
                <w:b w:val="false"/>
                <w:bCs w:val="false"/>
                <w:color w:val="000000"/>
                <w:sz w:val="20"/>
                <w:szCs w:val="20"/>
              </w:rPr>
              <w:t xml:space="preserve">30-60%</w:t>
            </w:r>
          </w:p>
        </w:tc>
        <w:tc>
          <w:tcPr>
            <w:tcW w:type="dxa" w:w="2200"/>
            <w:vAlign w:val="center"/>
          </w:tcPr>
          <w:p>
            <w:r>
              <w:rPr>
                <w:b w:val="false"/>
                <w:bCs w:val="false"/>
                <w:color w:val="000000"/>
                <w:sz w:val="20"/>
                <w:szCs w:val="20"/>
              </w:rPr>
              <w:t xml:space="preserve">1,939</w:t>
            </w:r>
          </w:p>
        </w:tc>
        <w:tc>
          <w:tcPr>
            <w:tcW w:type="dxa" w:w="3600"/>
            <w:vAlign w:val="center"/>
          </w:tcPr>
          <w:p>
            <w:r>
              <w:rPr>
                <w:b w:val="false"/>
                <w:bCs w:val="false"/>
                <w:color w:val="000000"/>
                <w:sz w:val="20"/>
                <w:szCs w:val="20"/>
              </w:rPr>
              <w:t xml:space="preserve">Targeted email campaign, service value messaging</w:t>
            </w:r>
          </w:p>
        </w:tc>
      </w:tr>
      <w:tr>
        <w:tc>
          <w:tcPr>
            <w:tcW w:type="dxa" w:w="1800"/>
            <w:vAlign w:val="center"/>
          </w:tcPr>
          <w:p>
            <w:r>
              <w:rPr>
                <w:b w:val="false"/>
                <w:bCs w:val="false"/>
                <w:color w:val="000000"/>
                <w:sz w:val="20"/>
                <w:szCs w:val="20"/>
              </w:rPr>
              <w:t xml:space="preserve">Low</w:t>
            </w:r>
          </w:p>
        </w:tc>
        <w:tc>
          <w:tcPr>
            <w:tcW w:type="dxa" w:w="2400"/>
            <w:vAlign w:val="center"/>
          </w:tcPr>
          <w:p>
            <w:r>
              <w:rPr>
                <w:b w:val="false"/>
                <w:bCs w:val="false"/>
                <w:color w:val="000000"/>
                <w:sz w:val="20"/>
                <w:szCs w:val="20"/>
              </w:rPr>
              <w:t xml:space="preserve">&lt; 30%</w:t>
            </w:r>
          </w:p>
        </w:tc>
        <w:tc>
          <w:tcPr>
            <w:tcW w:type="dxa" w:w="2200"/>
            <w:vAlign w:val="center"/>
          </w:tcPr>
          <w:p>
            <w:r>
              <w:rPr>
                <w:b w:val="false"/>
                <w:bCs w:val="false"/>
                <w:color w:val="000000"/>
                <w:sz w:val="20"/>
                <w:szCs w:val="20"/>
              </w:rPr>
              <w:t xml:space="preserve">3,003</w:t>
            </w:r>
          </w:p>
        </w:tc>
        <w:tc>
          <w:tcPr>
            <w:tcW w:type="dxa" w:w="3600"/>
            <w:vAlign w:val="center"/>
          </w:tcPr>
          <w:p>
            <w:r>
              <w:rPr>
                <w:b w:val="false"/>
                <w:bCs w:val="false"/>
                <w:color w:val="000000"/>
                <w:sz w:val="20"/>
                <w:szCs w:val="20"/>
              </w:rPr>
              <w:t xml:space="preserve">Standard engagement, upsell opportunities</w:t>
            </w:r>
          </w:p>
        </w:tc>
      </w:tr>
    </w:tbl>
    <w:p>
      <w:r>
        <w:br w:type="page"/>
      </w:r>
    </w:p>
    <w:p>
      <w:pPr>
        <w:pStyle w:val="Heading1"/>
        <w:spacing w:after="150" w:before="300"/>
      </w:pPr>
      <w:r>
        <w:t xml:space="preserve">Business Recommendations</w:t>
      </w:r>
    </w:p>
    <w:p>
      <w:pPr>
        <w:pStyle w:val="ListParagraph"/>
        <w:numPr>
          <w:ilvl w:val="0"/>
          <w:numId w:val="1"/>
        </w:numPr>
        <w:spacing w:after="80"/>
      </w:pPr>
      <w:r>
        <w:t xml:space="preserve">Incentivize contract upgrades: offer month-to-month fiber customers a discount or perk to move to a one- or two-year contract — this is the single highest-leverage lever, given the 3-15x churn rate gap by contract length.</w:t>
      </w:r>
    </w:p>
    <w:p>
      <w:pPr>
        <w:pStyle w:val="ListParagraph"/>
        <w:numPr>
          <w:ilvl w:val="0"/>
          <w:numId w:val="1"/>
        </w:numPr>
        <w:spacing w:after="80"/>
      </w:pPr>
      <w:r>
        <w:t xml:space="preserve">Build a 90-day onboarding program: since over half of new customers churn within 6 months, invest in proactive check-ins, welcome offers, and early support for this cohort specifically.</w:t>
      </w:r>
    </w:p>
    <w:p>
      <w:pPr>
        <w:pStyle w:val="ListParagraph"/>
        <w:numPr>
          <w:ilvl w:val="0"/>
          <w:numId w:val="1"/>
        </w:numPr>
        <w:spacing w:after="80"/>
      </w:pPr>
      <w:r>
        <w:t xml:space="preserve">Investigate the fiber-optic value gap: fiber customers pay the most and churn the most — a targeted customer satisfaction survey or competitive pricing review is warranted.</w:t>
      </w:r>
    </w:p>
    <w:p>
      <w:pPr>
        <w:pStyle w:val="ListParagraph"/>
        <w:numPr>
          <w:ilvl w:val="0"/>
          <w:numId w:val="1"/>
        </w:numPr>
        <w:spacing w:after="80"/>
      </w:pPr>
      <w:r>
        <w:t xml:space="preserve">Migrate electronic check payers to autopay: offer a small discount or incentive to switch, since manual payment correlates with a 3x higher churn rate (likely a proxy for lower engagement/commitment).</w:t>
      </w:r>
    </w:p>
    <w:p>
      <w:pPr>
        <w:pStyle w:val="ListParagraph"/>
        <w:numPr>
          <w:ilvl w:val="0"/>
          <w:numId w:val="1"/>
        </w:numPr>
        <w:spacing w:after="80"/>
      </w:pPr>
      <w:r>
        <w:t xml:space="preserve">Promote add-on service adoption early: customers with multiple add-ons churn far less; bundling 2-3 services into a starter package could improve stickiness from day one.</w:t>
      </w:r>
    </w:p>
    <w:p>
      <w:pPr>
        <w:pStyle w:val="ListParagraph"/>
        <w:numPr>
          <w:ilvl w:val="0"/>
          <w:numId w:val="1"/>
        </w:numPr>
        <w:spacing w:after="80"/>
      </w:pPr>
      <w:r>
        <w:t xml:space="preserve">Operationalize the risk score: route the 2,101 'High Risk' customers to the retention team weekly, prioritized by monthly revenue, to focus effort where it saves the most revenue.</w:t>
      </w:r>
    </w:p>
    <w:p>
      <w:pPr>
        <w:pStyle w:val="Heading1"/>
        <w:spacing w:after="150" w:before="300"/>
      </w:pPr>
      <w:r>
        <w:t xml:space="preserve">Project Files &amp; Reproducibility</w:t>
      </w:r>
    </w:p>
    <w:p>
      <w:pPr>
        <w:spacing w:after="160"/>
      </w:pPr>
      <w:r>
        <w:t xml:space="preserve">This analysis is fully reproducible. The project includes:</w:t>
      </w:r>
    </w:p>
    <w:p>
      <w:pPr>
        <w:pStyle w:val="ListParagraph"/>
        <w:numPr>
          <w:ilvl w:val="0"/>
          <w:numId w:val="1"/>
        </w:numPr>
        <w:spacing w:after="80"/>
      </w:pPr>
      <w:r>
        <w:t xml:space="preserve">01_data_cleaning.py — data loading, cleaning, and feature engineering</w:t>
      </w:r>
    </w:p>
    <w:p>
      <w:pPr>
        <w:pStyle w:val="ListParagraph"/>
        <w:numPr>
          <w:ilvl w:val="0"/>
          <w:numId w:val="1"/>
        </w:numPr>
        <w:spacing w:after="80"/>
      </w:pPr>
      <w:r>
        <w:t xml:space="preserve">02_eda.py — exploratory analysis and chart generation</w:t>
      </w:r>
    </w:p>
    <w:p>
      <w:pPr>
        <w:pStyle w:val="ListParagraph"/>
        <w:numPr>
          <w:ilvl w:val="0"/>
          <w:numId w:val="1"/>
        </w:numPr>
        <w:spacing w:after="80"/>
      </w:pPr>
      <w:r>
        <w:t xml:space="preserve">03_sql_analysis.py — SQLite-based segment and cohort queries</w:t>
      </w:r>
    </w:p>
    <w:p>
      <w:pPr>
        <w:pStyle w:val="ListParagraph"/>
        <w:numPr>
          <w:ilvl w:val="0"/>
          <w:numId w:val="1"/>
        </w:numPr>
        <w:spacing w:after="80"/>
      </w:pPr>
      <w:r>
        <w:t xml:space="preserve">04_modeling.py — model training, evaluation, and customer risk scoring</w:t>
      </w:r>
    </w:p>
    <w:p>
      <w:pPr>
        <w:pStyle w:val="ListParagraph"/>
        <w:numPr>
          <w:ilvl w:val="0"/>
          <w:numId w:val="1"/>
        </w:numPr>
        <w:spacing w:after="80"/>
      </w:pPr>
      <w:r>
        <w:t xml:space="preserve">churn_risk_scores.csv — final scored output for all 7,043 customers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Customer Churn &amp; Retention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150" w:before="300"/>
    </w:pPr>
    <w:rPr>
      <w:rFonts w:ascii="Calibri" w:cs="Calibri" w:eastAsia="Calibri" w:hAnsi="Calibri"/>
      <w:b/>
      <w:bCs/>
      <w:color w:val="1F3864"/>
      <w:sz w:val="30"/>
      <w:szCs w:val="30"/>
    </w:rPr>
  </w:style>
  <w:style w:type="paragraph" w:styleId="Heading2">
    <w:name w:val="Heading 2"/>
    <w:basedOn w:val="Normal"/>
    <w:next w:val="Normal"/>
    <w:qFormat/>
    <w:pPr>
      <w:spacing w:after="120" w:before="240"/>
    </w:pPr>
    <w:rPr>
      <w:rFonts w:ascii="Calibri" w:cs="Calibri" w:eastAsia="Calibri" w:hAnsi="Calibri"/>
      <w:b/>
      <w:bCs/>
      <w:color w:val="E4572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d83f33f510e80c8d4d09ff181040f1ab3a837be.png"/><Relationship Id="rId10" Type="http://schemas.openxmlformats.org/officeDocument/2006/relationships/image" Target="media/b9723c803976c19da3e565091467d0a6754e812b.png"/><Relationship Id="rId11" Type="http://schemas.openxmlformats.org/officeDocument/2006/relationships/image" Target="media/de0738fa4ccf9c63ec808c37a70cfad7e2388786.png"/><Relationship Id="rId12" Type="http://schemas.openxmlformats.org/officeDocument/2006/relationships/image" Target="media/45ac81fb76efec6051aee3569acd8a270b05af2d.png"/><Relationship Id="rId13" Type="http://schemas.openxmlformats.org/officeDocument/2006/relationships/image" Target="media/de0a9fd7adfc85e3b63b2963a0b2a3a0e620bf56.png"/><Relationship Id="rId14" Type="http://schemas.openxmlformats.org/officeDocument/2006/relationships/image" Target="media/9978be20d68954c780ff61c906ee44f6fa2e3f1c.png"/><Relationship Id="rId15" Type="http://schemas.openxmlformats.org/officeDocument/2006/relationships/image" Target="media/68bd749af28b91705139d2db42d207b12960a1ae.png"/><Relationship Id="rId16" Type="http://schemas.openxmlformats.org/officeDocument/2006/relationships/image" Target="media/fc52837a54ffa036c021226e83f142d8ba6962cc.png"/><Relationship Id="rId17" Type="http://schemas.openxmlformats.org/officeDocument/2006/relationships/image" Target="media/22c712e48fe4851c959139b90bf31f84489b12d1.png"/><Relationship Id="rId18" Type="http://schemas.openxmlformats.org/officeDocument/2006/relationships/image" Target="media/4fb0063d6f8f990657bd762f80bb47cc90d6f639.png"/><Relationship Id="rId19" Type="http://schemas.openxmlformats.org/officeDocument/2006/relationships/image" Target="media/5fcdac5a68f73a1eff13529bfa9099ecda8a5ba1.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2026-08-16T07:52:22.942Z</dcterms:created>
  <dcterms:modified xsi:type="dcterms:W3CDTF">2026-08-16T07:52:22.952Z</dcterms:modified>
</cp:coreProperties>
</file>

<file path=docProps/custom.xml><?xml version="1.0" encoding="utf-8"?>
<Properties xmlns="http://schemas.openxmlformats.org/officeDocument/2006/custom-properties" xmlns:vt="http://schemas.openxmlformats.org/officeDocument/2006/docPropsVTypes"/>
</file>