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CHANDIGARH UNIVERSITY</w:t>
      </w:r>
    </w:p>
    <w:p/>
    <w:p/>
    <w:p>
      <w:pPr>
        <w:pStyle w:val="Title"/>
        <w:jc w:val="center"/>
      </w:pPr>
      <w:r>
        <w:t>SOFTWARE ENGINEERING</w:t>
        <w:br/>
        <w:t>CASE STUDY</w:t>
      </w:r>
    </w:p>
    <w:p/>
    <w:p>
      <w:pPr>
        <w:jc w:val="center"/>
      </w:pPr>
      <w:r>
        <w:rPr>
          <w:b/>
          <w:color w:val="105374"/>
          <w:sz w:val="34"/>
        </w:rPr>
        <w:t>DESIGN, DEVELOPMENT, SECURITY AND TESTING OF</w:t>
        <w:br/>
        <w:t>BANKING APPLICATIONS AND UPI PAYMENT SYSTEMS</w:t>
      </w:r>
    </w:p>
    <w:p/>
    <w:p/>
    <w:p/>
    <w:p>
      <w:pPr>
        <w:jc w:val="center"/>
      </w:pPr>
      <w:r>
        <w:t>Submitted by: Stuti</w:t>
      </w:r>
    </w:p>
    <w:p>
      <w:pPr>
        <w:jc w:val="center"/>
      </w:pPr>
      <w:r>
        <w:t>UID: 25BCD10288</w:t>
      </w:r>
    </w:p>
    <w:p>
      <w:pPr>
        <w:jc w:val="center"/>
      </w:pPr>
      <w:r>
        <w:t>Programme: BCA (Hons.) Data Science</w:t>
      </w:r>
    </w:p>
    <w:p>
      <w:pPr>
        <w:jc w:val="center"/>
      </w:pPr>
      <w:r>
        <w:t>Subject: Software Engineering</w:t>
      </w:r>
    </w:p>
    <w:p>
      <w:pPr>
        <w:jc w:val="center"/>
      </w:pPr>
      <w:r>
        <w:t>Academic Year: 2026–2027</w:t>
      </w:r>
    </w:p>
    <w:p/>
    <w:p/>
    <w:p/>
    <w:p>
      <w:pPr>
        <w:jc w:val="center"/>
      </w:pPr>
      <w:r>
        <w:rPr>
          <w:i/>
        </w:rPr>
        <w:t>Academic case analysis  •  Illustrative system design  •  Public technical sources</w:t>
      </w:r>
    </w:p>
    <w:p>
      <w:r>
        <w:br w:type="page"/>
      </w:r>
    </w:p>
    <w:p>
      <w:pPr>
        <w:pStyle w:val="Heading1"/>
      </w:pPr>
      <w:r>
        <w:t>Abstract</w:t>
      </w:r>
    </w:p>
    <w:p>
      <w:r>
        <w:t>This case study investigates the software engineering lifecycle of a proposed banking application integrated with the Unified Payments Interface (UPI). The proposed “CampusBank UPI” platform is a hypothetical teaching example, not an existing banking product or a claim about any institution’s proprietary architecture. It provides account viewing, beneficiary management, QR payments, transaction status, complaint registration and audit features. UPI network roles and payment-security requirements are discussed using publicly available NPCI and RBI information [1]–[4].</w:t>
      </w:r>
    </w:p>
    <w:p>
      <w:r>
        <w:t>The investigation applies the three syllabus units systematically: (i) software, software crisis, SDLC, process models, DevOps and configuration management; (ii) project planning, effort and cost estimation, risk analysis, requirements specification and structured/UML modelling; and (iii) architecture, modular design, quality attributes, testing strategies and maintenance. An illustrative failed-payment scenario provides a single practical thread connecting technical analysis and user experience.</w:t>
      </w:r>
    </w:p>
    <w:p>
      <w:r>
        <w:t>The central finding is that payment software quality depends on much more than a working transfer screen. Transaction state consistency, user authentication, recovery from partial failures, detailed audit trails, accessibility, change control and cross-bank interoperability must be designed and verified throughout the SDLC. A hybrid iterative development approach with security gates, automation and operational monitoring is recommended.</w:t>
      </w:r>
    </w:p>
    <w:p>
      <w:pPr>
        <w:pStyle w:val="Heading2"/>
      </w:pPr>
      <w:r>
        <w:t>Keywords</w:t>
      </w:r>
    </w:p>
    <w:p>
      <w:r>
        <w:t>Software Engineering; SDLC; Unified Payments Interface; banking application; requirements engineering; SRS; UML; COCOMO; secure-by-design; CI/CD; software testing.</w:t>
      </w:r>
    </w:p>
    <w:p>
      <w:pPr>
        <w:pStyle w:val="Heading2"/>
      </w:pPr>
      <w:r>
        <w:t>Scope and evidence note</w:t>
      </w:r>
    </w:p>
    <w:p>
      <w:r>
        <w:t>All project plans, costs, timelines, performance objectives, architecture diagrams and test outcomes in this report are illustrative academic assumptions. They do not represent measured results, NPCI network specifications, or bank-internal operational facts. Financial transfers would require authorised institutional participation and compliance review before any real deployment.</w:t>
      </w:r>
    </w:p>
    <w:p>
      <w:pPr>
        <w:pStyle w:val="Heading2"/>
      </w:pPr>
      <w:r>
        <w:t>Case-study methodology</w:t>
      </w:r>
    </w:p>
    <w:p>
      <w:r>
        <w:t>Descriptive and analytical case study using a constructed system scenario, requirements decomposition, comparative process-model evaluation, illustrative engineering estimates, proposed models, risk analysis, and test design. Public primary sources serve as contextual evidence; no customer data, production code, or live financial transaction is used.</w:t>
      </w:r>
    </w:p>
    <w:p>
      <w:r>
        <w:br w:type="page"/>
      </w:r>
    </w:p>
    <w:p>
      <w:pPr>
        <w:pStyle w:val="Heading1"/>
      </w:pPr>
      <w:r>
        <w:t>Contents and Learning Alignment</w:t>
      </w:r>
    </w:p>
    <w:tbl>
      <w:tblPr>
        <w:tblStyle w:val="LightShading-Accent1"/>
        <w:tblW w:type="auto" w:w="0"/>
        <w:jc w:val="center"/>
        <w:tblLook w:firstColumn="1" w:firstRow="1" w:lastColumn="0" w:lastRow="0" w:noHBand="0" w:noVBand="1" w:val="04A0"/>
      </w:tblPr>
      <w:tblGrid>
        <w:gridCol w:w="4889"/>
        <w:gridCol w:w="4889"/>
      </w:tblGrid>
      <w:tr>
        <w:tc>
          <w:tcPr>
            <w:tcW w:type="dxa" w:w="4889"/>
          </w:tcPr>
          <w:p>
            <w:r>
              <w:rPr>
                <w:sz w:val="18"/>
              </w:rPr>
              <w:t>Section</w:t>
            </w:r>
          </w:p>
        </w:tc>
        <w:tc>
          <w:tcPr>
            <w:tcW w:type="dxa" w:w="4889"/>
          </w:tcPr>
          <w:p>
            <w:r>
              <w:rPr>
                <w:sz w:val="18"/>
              </w:rPr>
              <w:t>Topic</w:t>
            </w:r>
          </w:p>
        </w:tc>
      </w:tr>
      <w:tr>
        <w:tc>
          <w:tcPr>
            <w:tcW w:type="dxa" w:w="4889"/>
          </w:tcPr>
          <w:p>
            <w:r>
              <w:rPr>
                <w:sz w:val="18"/>
              </w:rPr>
              <w:t>1</w:t>
            </w:r>
          </w:p>
        </w:tc>
        <w:tc>
          <w:tcPr>
            <w:tcW w:type="dxa" w:w="4889"/>
          </w:tcPr>
          <w:p>
            <w:r>
              <w:rPr>
                <w:sz w:val="18"/>
              </w:rPr>
              <w:t>Introduction and Case Background</w:t>
            </w:r>
          </w:p>
        </w:tc>
      </w:tr>
      <w:tr>
        <w:tc>
          <w:tcPr>
            <w:tcW w:type="dxa" w:w="4889"/>
          </w:tcPr>
          <w:p>
            <w:r>
              <w:rPr>
                <w:sz w:val="18"/>
              </w:rPr>
              <w:t>2</w:t>
            </w:r>
          </w:p>
        </w:tc>
        <w:tc>
          <w:tcPr>
            <w:tcW w:type="dxa" w:w="4889"/>
          </w:tcPr>
          <w:p>
            <w:r>
              <w:rPr>
                <w:sz w:val="18"/>
              </w:rPr>
              <w:t>Problem Statement, Objectives and Stakeholders</w:t>
            </w:r>
          </w:p>
        </w:tc>
      </w:tr>
      <w:tr>
        <w:tc>
          <w:tcPr>
            <w:tcW w:type="dxa" w:w="4889"/>
          </w:tcPr>
          <w:p>
            <w:r>
              <w:rPr>
                <w:sz w:val="18"/>
              </w:rPr>
              <w:t>3</w:t>
            </w:r>
          </w:p>
        </w:tc>
        <w:tc>
          <w:tcPr>
            <w:tcW w:type="dxa" w:w="4889"/>
          </w:tcPr>
          <w:p>
            <w:r>
              <w:rPr>
                <w:sz w:val="18"/>
              </w:rPr>
              <w:t>Software Characteristics and SDLC</w:t>
            </w:r>
          </w:p>
        </w:tc>
      </w:tr>
      <w:tr>
        <w:tc>
          <w:tcPr>
            <w:tcW w:type="dxa" w:w="4889"/>
          </w:tcPr>
          <w:p>
            <w:r>
              <w:rPr>
                <w:sz w:val="18"/>
              </w:rPr>
              <w:t>4</w:t>
            </w:r>
          </w:p>
        </w:tc>
        <w:tc>
          <w:tcPr>
            <w:tcW w:type="dxa" w:w="4889"/>
          </w:tcPr>
          <w:p>
            <w:r>
              <w:rPr>
                <w:sz w:val="18"/>
              </w:rPr>
              <w:t>Process Models and Development Strategy</w:t>
            </w:r>
          </w:p>
        </w:tc>
      </w:tr>
      <w:tr>
        <w:tc>
          <w:tcPr>
            <w:tcW w:type="dxa" w:w="4889"/>
          </w:tcPr>
          <w:p>
            <w:r>
              <w:rPr>
                <w:sz w:val="18"/>
              </w:rPr>
              <w:t>5</w:t>
            </w:r>
          </w:p>
        </w:tc>
        <w:tc>
          <w:tcPr>
            <w:tcW w:type="dxa" w:w="4889"/>
          </w:tcPr>
          <w:p>
            <w:r>
              <w:rPr>
                <w:sz w:val="18"/>
              </w:rPr>
              <w:t>Agile, DevOps, CI/CD, SCM and Maturity</w:t>
            </w:r>
          </w:p>
        </w:tc>
      </w:tr>
      <w:tr>
        <w:tc>
          <w:tcPr>
            <w:tcW w:type="dxa" w:w="4889"/>
          </w:tcPr>
          <w:p>
            <w:r>
              <w:rPr>
                <w:sz w:val="18"/>
              </w:rPr>
              <w:t>6</w:t>
            </w:r>
          </w:p>
        </w:tc>
        <w:tc>
          <w:tcPr>
            <w:tcW w:type="dxa" w:w="4889"/>
          </w:tcPr>
          <w:p>
            <w:r>
              <w:rPr>
                <w:sz w:val="18"/>
              </w:rPr>
              <w:t>Project Scope, Work Breakdown and Scheduling</w:t>
            </w:r>
          </w:p>
        </w:tc>
      </w:tr>
      <w:tr>
        <w:tc>
          <w:tcPr>
            <w:tcW w:type="dxa" w:w="4889"/>
          </w:tcPr>
          <w:p>
            <w:r>
              <w:rPr>
                <w:sz w:val="18"/>
              </w:rPr>
              <w:t>7</w:t>
            </w:r>
          </w:p>
        </w:tc>
        <w:tc>
          <w:tcPr>
            <w:tcW w:type="dxa" w:w="4889"/>
          </w:tcPr>
          <w:p>
            <w:r>
              <w:rPr>
                <w:sz w:val="18"/>
              </w:rPr>
              <w:t>Software Size, Effort and Cost Estimation</w:t>
            </w:r>
          </w:p>
        </w:tc>
      </w:tr>
      <w:tr>
        <w:tc>
          <w:tcPr>
            <w:tcW w:type="dxa" w:w="4889"/>
          </w:tcPr>
          <w:p>
            <w:r>
              <w:rPr>
                <w:sz w:val="18"/>
              </w:rPr>
              <w:t>8</w:t>
            </w:r>
          </w:p>
        </w:tc>
        <w:tc>
          <w:tcPr>
            <w:tcW w:type="dxa" w:w="4889"/>
          </w:tcPr>
          <w:p>
            <w:r>
              <w:rPr>
                <w:sz w:val="18"/>
              </w:rPr>
              <w:t>Risk Management and Feasibility</w:t>
            </w:r>
          </w:p>
        </w:tc>
      </w:tr>
      <w:tr>
        <w:tc>
          <w:tcPr>
            <w:tcW w:type="dxa" w:w="4889"/>
          </w:tcPr>
          <w:p>
            <w:r>
              <w:rPr>
                <w:sz w:val="18"/>
              </w:rPr>
              <w:t>9</w:t>
            </w:r>
          </w:p>
        </w:tc>
        <w:tc>
          <w:tcPr>
            <w:tcW w:type="dxa" w:w="4889"/>
          </w:tcPr>
          <w:p>
            <w:r>
              <w:rPr>
                <w:sz w:val="18"/>
              </w:rPr>
              <w:t>Requirements Engineering and SRS</w:t>
            </w:r>
          </w:p>
        </w:tc>
      </w:tr>
      <w:tr>
        <w:tc>
          <w:tcPr>
            <w:tcW w:type="dxa" w:w="4889"/>
          </w:tcPr>
          <w:p>
            <w:r>
              <w:rPr>
                <w:sz w:val="18"/>
              </w:rPr>
              <w:t>10</w:t>
            </w:r>
          </w:p>
        </w:tc>
        <w:tc>
          <w:tcPr>
            <w:tcW w:type="dxa" w:w="4889"/>
          </w:tcPr>
          <w:p>
            <w:r>
              <w:rPr>
                <w:sz w:val="18"/>
              </w:rPr>
              <w:t>Context Diagram, DFD and Data Dictionary</w:t>
            </w:r>
          </w:p>
        </w:tc>
      </w:tr>
      <w:tr>
        <w:tc>
          <w:tcPr>
            <w:tcW w:type="dxa" w:w="4889"/>
          </w:tcPr>
          <w:p>
            <w:r>
              <w:rPr>
                <w:sz w:val="18"/>
              </w:rPr>
              <w:t>11</w:t>
            </w:r>
          </w:p>
        </w:tc>
        <w:tc>
          <w:tcPr>
            <w:tcW w:type="dxa" w:w="4889"/>
          </w:tcPr>
          <w:p>
            <w:r>
              <w:rPr>
                <w:sz w:val="18"/>
              </w:rPr>
              <w:t>ERD, Use Cases and UML Models</w:t>
            </w:r>
          </w:p>
        </w:tc>
      </w:tr>
      <w:tr>
        <w:tc>
          <w:tcPr>
            <w:tcW w:type="dxa" w:w="4889"/>
          </w:tcPr>
          <w:p>
            <w:r>
              <w:rPr>
                <w:sz w:val="18"/>
              </w:rPr>
              <w:t>12</w:t>
            </w:r>
          </w:p>
        </w:tc>
        <w:tc>
          <w:tcPr>
            <w:tcW w:type="dxa" w:w="4889"/>
          </w:tcPr>
          <w:p>
            <w:r>
              <w:rPr>
                <w:sz w:val="18"/>
              </w:rPr>
              <w:t>Architecture and Detailed Software Design</w:t>
            </w:r>
          </w:p>
        </w:tc>
      </w:tr>
      <w:tr>
        <w:tc>
          <w:tcPr>
            <w:tcW w:type="dxa" w:w="4889"/>
          </w:tcPr>
          <w:p>
            <w:r>
              <w:rPr>
                <w:sz w:val="18"/>
              </w:rPr>
              <w:t>13</w:t>
            </w:r>
          </w:p>
        </w:tc>
        <w:tc>
          <w:tcPr>
            <w:tcW w:type="dxa" w:w="4889"/>
          </w:tcPr>
          <w:p>
            <w:r>
              <w:rPr>
                <w:sz w:val="18"/>
              </w:rPr>
              <w:t>Software Quality and SQA</w:t>
            </w:r>
          </w:p>
        </w:tc>
      </w:tr>
      <w:tr>
        <w:tc>
          <w:tcPr>
            <w:tcW w:type="dxa" w:w="4889"/>
          </w:tcPr>
          <w:p>
            <w:r>
              <w:rPr>
                <w:sz w:val="18"/>
              </w:rPr>
              <w:t>14</w:t>
            </w:r>
          </w:p>
        </w:tc>
        <w:tc>
          <w:tcPr>
            <w:tcW w:type="dxa" w:w="4889"/>
          </w:tcPr>
          <w:p>
            <w:r>
              <w:rPr>
                <w:sz w:val="18"/>
              </w:rPr>
              <w:t>Testing Plan, Cases and Traceability</w:t>
            </w:r>
          </w:p>
        </w:tc>
      </w:tr>
      <w:tr>
        <w:tc>
          <w:tcPr>
            <w:tcW w:type="dxa" w:w="4889"/>
          </w:tcPr>
          <w:p>
            <w:r>
              <w:rPr>
                <w:sz w:val="18"/>
              </w:rPr>
              <w:t>15</w:t>
            </w:r>
          </w:p>
        </w:tc>
        <w:tc>
          <w:tcPr>
            <w:tcW w:type="dxa" w:w="4889"/>
          </w:tcPr>
          <w:p>
            <w:r>
              <w:rPr>
                <w:sz w:val="18"/>
              </w:rPr>
              <w:t>Deployment, Operations and Maintenance</w:t>
            </w:r>
          </w:p>
        </w:tc>
      </w:tr>
      <w:tr>
        <w:tc>
          <w:tcPr>
            <w:tcW w:type="dxa" w:w="4889"/>
          </w:tcPr>
          <w:p>
            <w:r>
              <w:rPr>
                <w:sz w:val="18"/>
              </w:rPr>
              <w:t>16</w:t>
            </w:r>
          </w:p>
        </w:tc>
        <w:tc>
          <w:tcPr>
            <w:tcW w:type="dxa" w:w="4889"/>
          </w:tcPr>
          <w:p>
            <w:r>
              <w:rPr>
                <w:sz w:val="18"/>
              </w:rPr>
              <w:t>Findings, Recommendations and Conclusion</w:t>
            </w:r>
          </w:p>
        </w:tc>
      </w:tr>
      <w:tr>
        <w:tc>
          <w:tcPr>
            <w:tcW w:type="dxa" w:w="4889"/>
          </w:tcPr>
          <w:p>
            <w:r>
              <w:rPr>
                <w:sz w:val="18"/>
              </w:rPr>
              <w:t>17</w:t>
            </w:r>
          </w:p>
        </w:tc>
        <w:tc>
          <w:tcPr>
            <w:tcW w:type="dxa" w:w="4889"/>
          </w:tcPr>
          <w:p>
            <w:r>
              <w:rPr>
                <w:sz w:val="18"/>
              </w:rPr>
              <w:t>References and Appendix</w:t>
            </w:r>
          </w:p>
        </w:tc>
      </w:tr>
    </w:tbl>
    <w:p>
      <w:pPr>
        <w:pStyle w:val="Heading2"/>
      </w:pPr>
      <w:r>
        <w:t>Course-unit mapping</w:t>
      </w:r>
    </w:p>
    <w:tbl>
      <w:tblPr>
        <w:tblStyle w:val="LightShading-Accent1"/>
        <w:tblW w:type="auto" w:w="0"/>
        <w:jc w:val="center"/>
        <w:tblLook w:firstColumn="1" w:firstRow="1" w:lastColumn="0" w:lastRow="0" w:noHBand="0" w:noVBand="1" w:val="04A0"/>
      </w:tblPr>
      <w:tblGrid>
        <w:gridCol w:w="4889"/>
        <w:gridCol w:w="4889"/>
      </w:tblGrid>
      <w:tr>
        <w:tc>
          <w:tcPr>
            <w:tcW w:type="dxa" w:w="4889"/>
          </w:tcPr>
          <w:p>
            <w:r>
              <w:rPr>
                <w:sz w:val="18"/>
              </w:rPr>
              <w:t>Syllabus unit</w:t>
            </w:r>
          </w:p>
        </w:tc>
        <w:tc>
          <w:tcPr>
            <w:tcW w:type="dxa" w:w="4889"/>
          </w:tcPr>
          <w:p>
            <w:r>
              <w:rPr>
                <w:sz w:val="18"/>
              </w:rPr>
              <w:t>Applied sections</w:t>
            </w:r>
          </w:p>
        </w:tc>
      </w:tr>
      <w:tr>
        <w:tc>
          <w:tcPr>
            <w:tcW w:type="dxa" w:w="4889"/>
          </w:tcPr>
          <w:p>
            <w:r>
              <w:rPr>
                <w:sz w:val="18"/>
              </w:rPr>
              <w:t>Unit 1: Software, SDLC, Process Models</w:t>
            </w:r>
          </w:p>
        </w:tc>
        <w:tc>
          <w:tcPr>
            <w:tcW w:type="dxa" w:w="4889"/>
          </w:tcPr>
          <w:p>
            <w:r>
              <w:rPr>
                <w:sz w:val="18"/>
              </w:rPr>
              <w:t>1–5 and 15</w:t>
            </w:r>
          </w:p>
        </w:tc>
      </w:tr>
      <w:tr>
        <w:tc>
          <w:tcPr>
            <w:tcW w:type="dxa" w:w="4889"/>
          </w:tcPr>
          <w:p>
            <w:r>
              <w:rPr>
                <w:sz w:val="18"/>
              </w:rPr>
              <w:t>Unit 2: Planning and Requirements Engineering</w:t>
            </w:r>
          </w:p>
        </w:tc>
        <w:tc>
          <w:tcPr>
            <w:tcW w:type="dxa" w:w="4889"/>
          </w:tcPr>
          <w:p>
            <w:r>
              <w:rPr>
                <w:sz w:val="18"/>
              </w:rPr>
              <w:t>6–11</w:t>
            </w:r>
          </w:p>
        </w:tc>
      </w:tr>
      <w:tr>
        <w:tc>
          <w:tcPr>
            <w:tcW w:type="dxa" w:w="4889"/>
          </w:tcPr>
          <w:p>
            <w:r>
              <w:rPr>
                <w:sz w:val="18"/>
              </w:rPr>
              <w:t>Unit 3: Design, Quality and Testing</w:t>
            </w:r>
          </w:p>
        </w:tc>
        <w:tc>
          <w:tcPr>
            <w:tcW w:type="dxa" w:w="4889"/>
          </w:tcPr>
          <w:p>
            <w:r>
              <w:rPr>
                <w:sz w:val="18"/>
              </w:rPr>
              <w:t>12–16</w:t>
            </w:r>
          </w:p>
        </w:tc>
      </w:tr>
      <w:tr>
        <w:tc>
          <w:tcPr>
            <w:tcW w:type="dxa" w:w="4889"/>
          </w:tcPr>
          <w:p>
            <w:r>
              <w:rPr>
                <w:sz w:val="18"/>
              </w:rPr>
              <w:t>Self-study: 4GT, Git, validation, testing tools</w:t>
            </w:r>
          </w:p>
        </w:tc>
        <w:tc>
          <w:tcPr>
            <w:tcW w:type="dxa" w:w="4889"/>
          </w:tcPr>
          <w:p>
            <w:r>
              <w:rPr>
                <w:sz w:val="18"/>
              </w:rPr>
              <w:t>5, 9, 14 and appendix</w:t>
            </w:r>
          </w:p>
        </w:tc>
      </w:tr>
    </w:tbl>
    <w:p>
      <w:r>
        <w:br w:type="page"/>
      </w:r>
    </w:p>
    <w:p>
      <w:pPr>
        <w:pStyle w:val="Heading1"/>
      </w:pPr>
      <w:r>
        <w:t>1. Introduction and Case Background</w:t>
      </w:r>
    </w:p>
    <w:p>
      <w:r>
        <w:t>Mobile banking and UPI services have made account-to-account payments a routine digital interaction. From a software engineering perspective, however, one payment involves a coordinated set of applications, service providers, banks, authentication mechanisms, network communication and status updates. The NPCI UPI product documentation identifies network, payer/payee PSP, remitter bank and beneficiary bank roles [1].</w:t>
      </w:r>
    </w:p>
    <w:p>
      <w:pPr>
        <w:pStyle w:val="Heading2"/>
      </w:pPr>
      <w:r>
        <w:t>Case organisation and scenario</w:t>
      </w:r>
    </w:p>
    <w:p>
      <w:r>
        <w:t>CampusBank UPI is a fictional mobile banking product commissioned by a hypothetical retail bank to support students, local merchants and general account holders. Users should be able to link an eligible account, view permitted banking information, scan a QR code, initiate a UPI transaction, inspect its authoritative status, access a receipt and raise a dispute when necessary.</w:t>
      </w:r>
    </w:p>
    <w:p>
      <w:pPr>
        <w:pStyle w:val="Heading2"/>
      </w:pPr>
      <w:r>
        <w:t>Why this domain is an instructive case</w:t>
      </w:r>
    </w:p>
    <w:p>
      <w:r>
        <w:t>Payment platforms have demanding non-functional requirements: security, availability, integrity, observability and low-friction interactions. An apparently simple UI defect such as displaying “failed” before reconciliation can lead to duplicate payment attempts and loss of user trust.</w:t>
      </w:r>
    </w:p>
    <w:p>
      <w:pPr>
        <w:pStyle w:val="Heading2"/>
      </w:pPr>
      <w:r>
        <w:t>Concrete motivating incident</w:t>
      </w:r>
    </w:p>
    <w:p>
      <w:r>
        <w:t>A customer scans a merchant QR code and authorises ₹450. The phone loses connectivity just after the request is submitted. The app times out, while the bank/network response remains unknown to the client. The customer must not be shown an invented definitive failure; instead the app should safely retrieve authoritative status and support reconciliation and complaint escalation.</w:t>
      </w:r>
    </w:p>
    <w:p>
      <w:r>
        <w:t>The incident makes software lifecycle discipline visible: the problem is jointly one of requirements, distributed-system design, status persistence, test coverage, incident handling and user communication.</w:t>
      </w:r>
    </w:p>
    <w:p>
      <w:r>
        <w:br w:type="page"/>
      </w:r>
    </w:p>
    <w:p>
      <w:pPr>
        <w:pStyle w:val="Heading1"/>
      </w:pPr>
      <w:r>
        <w:t>2. Problem Statement, Objectives and Stakeholders</w:t>
      </w:r>
    </w:p>
    <w:p>
      <w:r>
        <w:t>The proposed platform must provide a trustworthy consumer payment experience while communicating with external financial systems through authorised integrations. The scope is a reference design; the implementation of regulated payment functions is outside this academic study.</w:t>
      </w:r>
    </w:p>
    <w:p>
      <w:pPr>
        <w:pStyle w:val="Heading2"/>
      </w:pPr>
      <w:r>
        <w:t>Problem statement</w:t>
      </w:r>
    </w:p>
    <w:p>
      <w:r>
        <w:t>Users may face ambiguous payment status, misleading interface messages, failed registration, connection loss, duplicate taps, inaccessible support and delayed dispute visibility. Technical teams also need safe releases, auditable changes and mechanisms for diagnosing incidents without exposing sensitive credentials.</w:t>
      </w:r>
    </w:p>
    <w:p>
      <w:pPr>
        <w:pStyle w:val="Heading2"/>
      </w:pPr>
      <w:r>
        <w:t>Business objectives</w:t>
      </w:r>
    </w:p>
    <w:p>
      <w:r>
        <w:t>Offer intuitive, accessible payment flows; improve clarity of pending/failed states; provide traceable transaction references; create measurable service objectives; reduce preventable support contacts; and make enhancements manageable through modular architecture and continuous quality review.</w:t>
      </w:r>
    </w:p>
    <w:p>
      <w:pPr>
        <w:pStyle w:val="Heading2"/>
      </w:pPr>
      <w:r>
        <w:t>System boundary</w:t>
      </w:r>
    </w:p>
    <w:p>
      <w:r>
        <w:t>The app will not itself act as NPCI or the bank ledger. The proposed backend communicates with authorised bank/PSP interfaces, and authoritative account debit, credit, PIN verification, dispute and settlement behaviour remains governed by relevant participants and official rules.</w:t>
      </w:r>
    </w:p>
    <w:tbl>
      <w:tblPr>
        <w:tblStyle w:val="LightShading-Accent1"/>
        <w:tblW w:type="auto" w:w="0"/>
        <w:jc w:val="center"/>
        <w:tblLook w:firstColumn="1" w:firstRow="1" w:lastColumn="0" w:lastRow="0" w:noHBand="0" w:noVBand="1" w:val="04A0"/>
      </w:tblPr>
      <w:tblGrid>
        <w:gridCol w:w="4889"/>
        <w:gridCol w:w="4889"/>
      </w:tblGrid>
      <w:tr>
        <w:tc>
          <w:tcPr>
            <w:tcW w:type="dxa" w:w="4889"/>
          </w:tcPr>
          <w:p>
            <w:r>
              <w:rPr>
                <w:sz w:val="18"/>
              </w:rPr>
              <w:t>Stakeholder</w:t>
            </w:r>
          </w:p>
        </w:tc>
        <w:tc>
          <w:tcPr>
            <w:tcW w:type="dxa" w:w="4889"/>
          </w:tcPr>
          <w:p>
            <w:r>
              <w:rPr>
                <w:sz w:val="18"/>
              </w:rPr>
              <w:t>Primary interest</w:t>
            </w:r>
          </w:p>
        </w:tc>
      </w:tr>
      <w:tr>
        <w:tc>
          <w:tcPr>
            <w:tcW w:type="dxa" w:w="4889"/>
          </w:tcPr>
          <w:p>
            <w:r>
              <w:rPr>
                <w:sz w:val="18"/>
              </w:rPr>
              <w:t>Customer</w:t>
            </w:r>
          </w:p>
        </w:tc>
        <w:tc>
          <w:tcPr>
            <w:tcW w:type="dxa" w:w="4889"/>
          </w:tcPr>
          <w:p>
            <w:r>
              <w:rPr>
                <w:sz w:val="18"/>
              </w:rPr>
              <w:t>Reliable transfers, privacy, transparent status and support</w:t>
            </w:r>
          </w:p>
        </w:tc>
      </w:tr>
      <w:tr>
        <w:tc>
          <w:tcPr>
            <w:tcW w:type="dxa" w:w="4889"/>
          </w:tcPr>
          <w:p>
            <w:r>
              <w:rPr>
                <w:sz w:val="18"/>
              </w:rPr>
              <w:t>Merchant / payee</w:t>
            </w:r>
          </w:p>
        </w:tc>
        <w:tc>
          <w:tcPr>
            <w:tcW w:type="dxa" w:w="4889"/>
          </w:tcPr>
          <w:p>
            <w:r>
              <w:rPr>
                <w:sz w:val="18"/>
              </w:rPr>
              <w:t>Receipt confirmation and traceability</w:t>
            </w:r>
          </w:p>
        </w:tc>
      </w:tr>
      <w:tr>
        <w:tc>
          <w:tcPr>
            <w:tcW w:type="dxa" w:w="4889"/>
          </w:tcPr>
          <w:p>
            <w:r>
              <w:rPr>
                <w:sz w:val="18"/>
              </w:rPr>
              <w:t>Bank product owner</w:t>
            </w:r>
          </w:p>
        </w:tc>
        <w:tc>
          <w:tcPr>
            <w:tcW w:type="dxa" w:w="4889"/>
          </w:tcPr>
          <w:p>
            <w:r>
              <w:rPr>
                <w:sz w:val="18"/>
              </w:rPr>
              <w:t>Compliance, utility, cost and reputation</w:t>
            </w:r>
          </w:p>
        </w:tc>
      </w:tr>
      <w:tr>
        <w:tc>
          <w:tcPr>
            <w:tcW w:type="dxa" w:w="4889"/>
          </w:tcPr>
          <w:p>
            <w:r>
              <w:rPr>
                <w:sz w:val="18"/>
              </w:rPr>
              <w:t>Development and QA team</w:t>
            </w:r>
          </w:p>
        </w:tc>
        <w:tc>
          <w:tcPr>
            <w:tcW w:type="dxa" w:w="4889"/>
          </w:tcPr>
          <w:p>
            <w:r>
              <w:rPr>
                <w:sz w:val="18"/>
              </w:rPr>
              <w:t>Testable requirements, stable APIs, maintainable code</w:t>
            </w:r>
          </w:p>
        </w:tc>
      </w:tr>
      <w:tr>
        <w:tc>
          <w:tcPr>
            <w:tcW w:type="dxa" w:w="4889"/>
          </w:tcPr>
          <w:p>
            <w:r>
              <w:rPr>
                <w:sz w:val="18"/>
              </w:rPr>
              <w:t>Security/compliance team</w:t>
            </w:r>
          </w:p>
        </w:tc>
        <w:tc>
          <w:tcPr>
            <w:tcW w:type="dxa" w:w="4889"/>
          </w:tcPr>
          <w:p>
            <w:r>
              <w:rPr>
                <w:sz w:val="18"/>
              </w:rPr>
              <w:t>Threat controls, auditability and regulatory alignment</w:t>
            </w:r>
          </w:p>
        </w:tc>
      </w:tr>
      <w:tr>
        <w:tc>
          <w:tcPr>
            <w:tcW w:type="dxa" w:w="4889"/>
          </w:tcPr>
          <w:p>
            <w:r>
              <w:rPr>
                <w:sz w:val="18"/>
              </w:rPr>
              <w:t>PSP/banking operations</w:t>
            </w:r>
          </w:p>
        </w:tc>
        <w:tc>
          <w:tcPr>
            <w:tcW w:type="dxa" w:w="4889"/>
          </w:tcPr>
          <w:p>
            <w:r>
              <w:rPr>
                <w:sz w:val="18"/>
              </w:rPr>
              <w:t>Interoperability, reconciliation and incident response</w:t>
            </w:r>
          </w:p>
        </w:tc>
      </w:tr>
    </w:tbl>
    <w:p>
      <w:r>
        <w:t>Success must be assessed across customer outcomes and technical controls, rather than only by the number of screens delivered.</w:t>
      </w:r>
    </w:p>
    <w:p>
      <w:r>
        <w:br w:type="page"/>
      </w:r>
    </w:p>
    <w:p>
      <w:pPr>
        <w:pStyle w:val="Heading1"/>
      </w:pPr>
      <w:r>
        <w:t>3. Software Characteristics and SDLC</w:t>
      </w:r>
    </w:p>
    <w:p>
      <w:r>
        <w:t>Software comprises executable instructions, associated data/configuration and documentation. Unlike physical machinery it does not wear out mechanically; nevertheless defects, evolving dependencies, attacks and changing needs may reduce its usefulness. A payment application is engineered software subject to high reliability and security expectations.</w:t>
      </w:r>
    </w:p>
    <w:p>
      <w:pPr>
        <w:pStyle w:val="Heading2"/>
      </w:pPr>
      <w:r>
        <w:t>Software characteristics and components</w:t>
      </w:r>
    </w:p>
    <w:p>
      <w:r>
        <w:t>The reference system includes a mobile interface, backend APIs, payment orchestration, identity/session controls, a transaction-status store, alerting and support functions, configuration, build scripts, operational runbooks and user guidance. It is intangible, complex, adaptable and dependent on evolving platforms.</w:t>
      </w:r>
    </w:p>
    <w:p>
      <w:pPr>
        <w:pStyle w:val="Heading2"/>
      </w:pPr>
      <w:r>
        <w:t>Software crisis in digital payments</w:t>
      </w:r>
    </w:p>
    <w:p>
      <w:r>
        <w:t>Unclear requirements, underestimated integration work, weak testing and uncontrolled changes can cause outages, budget overruns, vulnerabilities or incorrect user-visible outcomes. These are modern manifestations of the software crisis: growing system complexity without adequate management and engineering processes.</w:t>
      </w:r>
    </w:p>
    <w:p>
      <w:pPr>
        <w:pStyle w:val="Heading2"/>
      </w:pPr>
      <w:r>
        <w:t>SDLC stages applied to this case</w:t>
      </w:r>
    </w:p>
    <w:p>
      <w:r>
        <w:t>Requirements identify user journeys and safety invariants; design separates UI, orchestration and banking connectors; implementation builds components; testing verifies function, security and recovery; deployment releases features gradually; maintenance responds to bugs, changes and preventive hardening. Documentation continues through each stage.</w:t>
      </w:r>
    </w:p>
    <w:tbl>
      <w:tblPr>
        <w:tblStyle w:val="LightShading-Accent1"/>
        <w:tblW w:type="auto" w:w="0"/>
        <w:jc w:val="center"/>
        <w:tblLook w:firstColumn="1" w:firstRow="1" w:lastColumn="0" w:lastRow="0" w:noHBand="0" w:noVBand="1" w:val="04A0"/>
      </w:tblPr>
      <w:tblGrid>
        <w:gridCol w:w="4889"/>
        <w:gridCol w:w="4889"/>
      </w:tblGrid>
      <w:tr>
        <w:tc>
          <w:tcPr>
            <w:tcW w:type="dxa" w:w="4889"/>
          </w:tcPr>
          <w:p>
            <w:r>
              <w:rPr>
                <w:sz w:val="18"/>
              </w:rPr>
              <w:t>Stage</w:t>
            </w:r>
          </w:p>
        </w:tc>
        <w:tc>
          <w:tcPr>
            <w:tcW w:type="dxa" w:w="4889"/>
          </w:tcPr>
          <w:p>
            <w:r>
              <w:rPr>
                <w:sz w:val="18"/>
              </w:rPr>
              <w:t>Main deliverable for CampusBank UPI</w:t>
            </w:r>
          </w:p>
        </w:tc>
      </w:tr>
      <w:tr>
        <w:tc>
          <w:tcPr>
            <w:tcW w:type="dxa" w:w="4889"/>
          </w:tcPr>
          <w:p>
            <w:r>
              <w:rPr>
                <w:sz w:val="18"/>
              </w:rPr>
              <w:t>Requirements</w:t>
            </w:r>
          </w:p>
        </w:tc>
        <w:tc>
          <w:tcPr>
            <w:tcW w:type="dxa" w:w="4889"/>
          </w:tcPr>
          <w:p>
            <w:r>
              <w:rPr>
                <w:sz w:val="18"/>
              </w:rPr>
              <w:t>Approved SRS, use cases, acceptance criteria</w:t>
            </w:r>
          </w:p>
        </w:tc>
      </w:tr>
      <w:tr>
        <w:tc>
          <w:tcPr>
            <w:tcW w:type="dxa" w:w="4889"/>
          </w:tcPr>
          <w:p>
            <w:r>
              <w:rPr>
                <w:sz w:val="18"/>
              </w:rPr>
              <w:t>Design</w:t>
            </w:r>
          </w:p>
        </w:tc>
        <w:tc>
          <w:tcPr>
            <w:tcW w:type="dxa" w:w="4889"/>
          </w:tcPr>
          <w:p>
            <w:r>
              <w:rPr>
                <w:sz w:val="18"/>
              </w:rPr>
              <w:t>Architecture, DFD, ERD, API contracts, threat model</w:t>
            </w:r>
          </w:p>
        </w:tc>
      </w:tr>
      <w:tr>
        <w:tc>
          <w:tcPr>
            <w:tcW w:type="dxa" w:w="4889"/>
          </w:tcPr>
          <w:p>
            <w:r>
              <w:rPr>
                <w:sz w:val="18"/>
              </w:rPr>
              <w:t>Implementation</w:t>
            </w:r>
          </w:p>
        </w:tc>
        <w:tc>
          <w:tcPr>
            <w:tcW w:type="dxa" w:w="4889"/>
          </w:tcPr>
          <w:p>
            <w:r>
              <w:rPr>
                <w:sz w:val="18"/>
              </w:rPr>
              <w:t>Reviewed source, versioned configuration, migrations</w:t>
            </w:r>
          </w:p>
        </w:tc>
      </w:tr>
      <w:tr>
        <w:tc>
          <w:tcPr>
            <w:tcW w:type="dxa" w:w="4889"/>
          </w:tcPr>
          <w:p>
            <w:r>
              <w:rPr>
                <w:sz w:val="18"/>
              </w:rPr>
              <w:t>Testing</w:t>
            </w:r>
          </w:p>
        </w:tc>
        <w:tc>
          <w:tcPr>
            <w:tcW w:type="dxa" w:w="4889"/>
          </w:tcPr>
          <w:p>
            <w:r>
              <w:rPr>
                <w:sz w:val="18"/>
              </w:rPr>
              <w:t>Automated test evidence and defect reports</w:t>
            </w:r>
          </w:p>
        </w:tc>
      </w:tr>
      <w:tr>
        <w:tc>
          <w:tcPr>
            <w:tcW w:type="dxa" w:w="4889"/>
          </w:tcPr>
          <w:p>
            <w:r>
              <w:rPr>
                <w:sz w:val="18"/>
              </w:rPr>
              <w:t>Deployment</w:t>
            </w:r>
          </w:p>
        </w:tc>
        <w:tc>
          <w:tcPr>
            <w:tcW w:type="dxa" w:w="4889"/>
          </w:tcPr>
          <w:p>
            <w:r>
              <w:rPr>
                <w:sz w:val="18"/>
              </w:rPr>
              <w:t>Signed release, rollback plan and monitoring</w:t>
            </w:r>
          </w:p>
        </w:tc>
      </w:tr>
      <w:tr>
        <w:tc>
          <w:tcPr>
            <w:tcW w:type="dxa" w:w="4889"/>
          </w:tcPr>
          <w:p>
            <w:r>
              <w:rPr>
                <w:sz w:val="18"/>
              </w:rPr>
              <w:t>Maintenance</w:t>
            </w:r>
          </w:p>
        </w:tc>
        <w:tc>
          <w:tcPr>
            <w:tcW w:type="dxa" w:w="4889"/>
          </w:tcPr>
          <w:p>
            <w:r>
              <w:rPr>
                <w:sz w:val="18"/>
              </w:rPr>
              <w:t>Incident records, patches, improvement backlog</w:t>
            </w:r>
          </w:p>
        </w:tc>
      </w:tr>
    </w:tbl>
    <w:p>
      <w:r>
        <w:br w:type="page"/>
      </w:r>
    </w:p>
    <w:p>
      <w:pPr>
        <w:pStyle w:val="Heading1"/>
      </w:pPr>
      <w:r>
        <w:t>4. Process Models and Development Strategy</w:t>
      </w:r>
    </w:p>
    <w:p>
      <w:r>
        <w:t>Model selection is a trade-off between predictability, feedback speed, documentation and risk. Regulatory and payment interfaces require rigorous controls, while usability and mobile-platform changes benefit from iteration.</w:t>
      </w:r>
    </w:p>
    <w:p>
      <w:pPr>
        <w:pStyle w:val="Heading2"/>
      </w:pPr>
      <w:r>
        <w:t>Waterfall model</w:t>
      </w:r>
    </w:p>
    <w:p>
      <w:r>
        <w:t>The traditional sequential approach gives distinct requirements, design, build and verification phases. It offers formal sign-offs but may reveal usability issues late. It is useful for relatively stable integration contracts, not ideal as the sole approach for the evolving mobile experience.</w:t>
      </w:r>
    </w:p>
    <w:p>
      <w:pPr>
        <w:pStyle w:val="Heading2"/>
      </w:pPr>
      <w:r>
        <w:t>V-model</w:t>
      </w:r>
    </w:p>
    <w:p>
      <w:r>
        <w:t>Each specification/design level maps to a testing level. Requirements correspond to acceptance tests, architecture to system/integration tests and modules to unit tests. It suits traceability and security-critical payment paths but can be less flexible when user needs change.</w:t>
      </w:r>
    </w:p>
    <w:p>
      <w:pPr>
        <w:pStyle w:val="Heading2"/>
      </w:pPr>
      <w:r>
        <w:t>Incremental and prototyping models</w:t>
      </w:r>
    </w:p>
    <w:p>
      <w:r>
        <w:t>An incremental release can deliver account viewing first, then QR initiation, status tracking and support. Low-risk clickable prototypes help validate confirmation screens, warnings and the treatment of uncertain payment statuses before implementing actual bank connectivity.</w:t>
      </w:r>
    </w:p>
    <w:p>
      <w:pPr>
        <w:pStyle w:val="Heading2"/>
      </w:pPr>
      <w:r>
        <w:t>Spiral model</w:t>
      </w:r>
    </w:p>
    <w:p>
      <w:r>
        <w:t>The spiral’s risk-driven cycles are relevant for authentication, partner integration and ambiguous transaction states. A prototype or proof of concept is reviewed with security and operations teams before expanding the solution.</w:t>
      </w:r>
    </w:p>
    <w:p>
      <w:pPr>
        <w:pStyle w:val="Heading2"/>
      </w:pPr>
      <w:r>
        <w:t>Selected approach</w:t>
      </w:r>
    </w:p>
    <w:p>
      <w:r>
        <w:t>A hybrid approach combines Agile increments with risk-based spiral reviews, V-model traceability for sensitive workflows, and formal release controls. This is an engineering recommendation, not a description of how real UPI operators develop their systems.</w:t>
      </w:r>
    </w:p>
    <w:tbl>
      <w:tblPr>
        <w:tblStyle w:val="LightShading-Accent1"/>
        <w:tblW w:type="auto" w:w="0"/>
        <w:jc w:val="center"/>
        <w:tblLook w:firstColumn="1" w:firstRow="1" w:lastColumn="0" w:lastRow="0" w:noHBand="0" w:noVBand="1" w:val="04A0"/>
      </w:tblPr>
      <w:tblGrid>
        <w:gridCol w:w="3259"/>
        <w:gridCol w:w="3259"/>
        <w:gridCol w:w="3259"/>
      </w:tblGrid>
      <w:tr>
        <w:tc>
          <w:tcPr>
            <w:tcW w:type="dxa" w:w="3259"/>
          </w:tcPr>
          <w:p>
            <w:r>
              <w:rPr>
                <w:sz w:val="18"/>
              </w:rPr>
              <w:t>Model</w:t>
            </w:r>
          </w:p>
        </w:tc>
        <w:tc>
          <w:tcPr>
            <w:tcW w:type="dxa" w:w="3259"/>
          </w:tcPr>
          <w:p>
            <w:r>
              <w:rPr>
                <w:sz w:val="18"/>
              </w:rPr>
              <w:t>Strength</w:t>
            </w:r>
          </w:p>
        </w:tc>
        <w:tc>
          <w:tcPr>
            <w:tcW w:type="dxa" w:w="3259"/>
          </w:tcPr>
          <w:p>
            <w:r>
              <w:rPr>
                <w:sz w:val="18"/>
              </w:rPr>
              <w:t>Limitation for this case</w:t>
            </w:r>
          </w:p>
        </w:tc>
      </w:tr>
      <w:tr>
        <w:tc>
          <w:tcPr>
            <w:tcW w:type="dxa" w:w="3259"/>
          </w:tcPr>
          <w:p>
            <w:r>
              <w:rPr>
                <w:sz w:val="18"/>
              </w:rPr>
              <w:t>Waterfall</w:t>
            </w:r>
          </w:p>
        </w:tc>
        <w:tc>
          <w:tcPr>
            <w:tcW w:type="dxa" w:w="3259"/>
          </w:tcPr>
          <w:p>
            <w:r>
              <w:rPr>
                <w:sz w:val="18"/>
              </w:rPr>
              <w:t>Clear documentation and approval</w:t>
            </w:r>
          </w:p>
        </w:tc>
        <w:tc>
          <w:tcPr>
            <w:tcW w:type="dxa" w:w="3259"/>
          </w:tcPr>
          <w:p>
            <w:r>
              <w:rPr>
                <w:sz w:val="18"/>
              </w:rPr>
              <w:t>Late feedback for UI and integrations</w:t>
            </w:r>
          </w:p>
        </w:tc>
      </w:tr>
      <w:tr>
        <w:tc>
          <w:tcPr>
            <w:tcW w:type="dxa" w:w="3259"/>
          </w:tcPr>
          <w:p>
            <w:r>
              <w:rPr>
                <w:sz w:val="18"/>
              </w:rPr>
              <w:t>V-model</w:t>
            </w:r>
          </w:p>
        </w:tc>
        <w:tc>
          <w:tcPr>
            <w:tcW w:type="dxa" w:w="3259"/>
          </w:tcPr>
          <w:p>
            <w:r>
              <w:rPr>
                <w:sz w:val="18"/>
              </w:rPr>
              <w:t>Explicit verification traceability</w:t>
            </w:r>
          </w:p>
        </w:tc>
        <w:tc>
          <w:tcPr>
            <w:tcW w:type="dxa" w:w="3259"/>
          </w:tcPr>
          <w:p>
            <w:r>
              <w:rPr>
                <w:sz w:val="18"/>
              </w:rPr>
              <w:t>Up-front planning burden</w:t>
            </w:r>
          </w:p>
        </w:tc>
      </w:tr>
      <w:tr>
        <w:tc>
          <w:tcPr>
            <w:tcW w:type="dxa" w:w="3259"/>
          </w:tcPr>
          <w:p>
            <w:r>
              <w:rPr>
                <w:sz w:val="18"/>
              </w:rPr>
              <w:t>Incremental</w:t>
            </w:r>
          </w:p>
        </w:tc>
        <w:tc>
          <w:tcPr>
            <w:tcW w:type="dxa" w:w="3259"/>
          </w:tcPr>
          <w:p>
            <w:r>
              <w:rPr>
                <w:sz w:val="18"/>
              </w:rPr>
              <w:t>Early demonstrable value</w:t>
            </w:r>
          </w:p>
        </w:tc>
        <w:tc>
          <w:tcPr>
            <w:tcW w:type="dxa" w:w="3259"/>
          </w:tcPr>
          <w:p>
            <w:r>
              <w:rPr>
                <w:sz w:val="18"/>
              </w:rPr>
              <w:t>Integration complexity accumulates</w:t>
            </w:r>
          </w:p>
        </w:tc>
      </w:tr>
      <w:tr>
        <w:tc>
          <w:tcPr>
            <w:tcW w:type="dxa" w:w="3259"/>
          </w:tcPr>
          <w:p>
            <w:r>
              <w:rPr>
                <w:sz w:val="18"/>
              </w:rPr>
              <w:t>Spiral</w:t>
            </w:r>
          </w:p>
        </w:tc>
        <w:tc>
          <w:tcPr>
            <w:tcW w:type="dxa" w:w="3259"/>
          </w:tcPr>
          <w:p>
            <w:r>
              <w:rPr>
                <w:sz w:val="18"/>
              </w:rPr>
              <w:t>Focus on major uncertainty</w:t>
            </w:r>
          </w:p>
        </w:tc>
        <w:tc>
          <w:tcPr>
            <w:tcW w:type="dxa" w:w="3259"/>
          </w:tcPr>
          <w:p>
            <w:r>
              <w:rPr>
                <w:sz w:val="18"/>
              </w:rPr>
              <w:t>Management overhead</w:t>
            </w:r>
          </w:p>
        </w:tc>
      </w:tr>
      <w:tr>
        <w:tc>
          <w:tcPr>
            <w:tcW w:type="dxa" w:w="3259"/>
          </w:tcPr>
          <w:p>
            <w:r>
              <w:rPr>
                <w:sz w:val="18"/>
              </w:rPr>
              <w:t>Prototyping</w:t>
            </w:r>
          </w:p>
        </w:tc>
        <w:tc>
          <w:tcPr>
            <w:tcW w:type="dxa" w:w="3259"/>
          </w:tcPr>
          <w:p>
            <w:r>
              <w:rPr>
                <w:sz w:val="18"/>
              </w:rPr>
              <w:t>Validates usability quickly</w:t>
            </w:r>
          </w:p>
        </w:tc>
        <w:tc>
          <w:tcPr>
            <w:tcW w:type="dxa" w:w="3259"/>
          </w:tcPr>
          <w:p>
            <w:r>
              <w:rPr>
                <w:sz w:val="18"/>
              </w:rPr>
              <w:t>Prototype must not become production code unchecked</w:t>
            </w:r>
          </w:p>
        </w:tc>
      </w:tr>
      <w:tr>
        <w:tc>
          <w:tcPr>
            <w:tcW w:type="dxa" w:w="3259"/>
          </w:tcPr>
          <w:p>
            <w:r>
              <w:rPr>
                <w:sz w:val="18"/>
              </w:rPr>
              <w:t>Agile</w:t>
            </w:r>
          </w:p>
        </w:tc>
        <w:tc>
          <w:tcPr>
            <w:tcW w:type="dxa" w:w="3259"/>
          </w:tcPr>
          <w:p>
            <w:r>
              <w:rPr>
                <w:sz w:val="18"/>
              </w:rPr>
              <w:t>Short feedback cycles</w:t>
            </w:r>
          </w:p>
        </w:tc>
        <w:tc>
          <w:tcPr>
            <w:tcW w:type="dxa" w:w="3259"/>
          </w:tcPr>
          <w:p>
            <w:r>
              <w:rPr>
                <w:sz w:val="18"/>
              </w:rPr>
              <w:t>Requires disciplined security and documentation</w:t>
            </w:r>
          </w:p>
        </w:tc>
      </w:tr>
    </w:tbl>
    <w:p>
      <w:r>
        <w:br w:type="page"/>
      </w:r>
    </w:p>
    <w:p>
      <w:pPr>
        <w:pStyle w:val="Heading1"/>
      </w:pPr>
      <w:r>
        <w:t>5. Agile, DevOps, CI/CD, SCM and Maturity</w:t>
      </w:r>
    </w:p>
    <w:p>
      <w:r>
        <w:t>Agile supports incremental learning; DevOps supports collaboration between delivery and operations. Neither replaces security controls or formal financial-system responsibilities.</w:t>
      </w:r>
    </w:p>
    <w:p>
      <w:pPr>
        <w:pStyle w:val="Heading2"/>
      </w:pPr>
      <w:r>
        <w:t>Scrum and XP in the project</w:t>
      </w:r>
    </w:p>
    <w:p>
      <w:r>
        <w:t>A product owner prioritises account linking, QR payment and support; a cross-functional team works in two-week sprints. Sprint review shows working software and retrospective improves the process. XP ideas include test-driven development, pairing for critical changes, refactoring and continuous integration.</w:t>
      </w:r>
    </w:p>
    <w:p>
      <w:pPr>
        <w:pStyle w:val="Heading2"/>
      </w:pPr>
      <w:r>
        <w:t>CI/CD pipeline overview</w:t>
      </w:r>
    </w:p>
    <w:p>
      <w:r>
        <w:t>Code commit → static checks and dependency scanning → unit tests → build → integration tests with sandbox/stubs → security/contract tests → approval gate → staging deployment → monitored canary rollout → wider release or rollback. Automated delivery is not the same as unreviewed production deployment.</w:t>
      </w:r>
    </w:p>
    <w:p>
      <w:pPr>
        <w:pStyle w:val="Heading2"/>
      </w:pPr>
      <w:r>
        <w:t>SCM and Git basics</w:t>
      </w:r>
    </w:p>
    <w:p>
      <w:r>
        <w:t>Use a protected main branch, short-lived feature branches, pull requests, peer reviews, tagged releases and traceable change tickets. A commit records a logical change; a branch isolates work; a merge integrates reviewed code. Secrets must not be committed and sensitive configuration should be managed separately.</w:t>
      </w:r>
    </w:p>
    <w:p>
      <w:pPr>
        <w:pStyle w:val="Heading2"/>
      </w:pPr>
      <w:r>
        <w:t>CMM/CMMI and fourth-generation techniques</w:t>
      </w:r>
    </w:p>
    <w:p>
      <w:r>
        <w:t>CMM/CMMI provide a framework for improving repeatability, measurement and process capability, not a claim that a particular bank is certified. Fourth-generation techniques such as declarative queries, visual modelling and low-code reporting can accelerate administrative dashboards, provided generated assets are reviewed and appropriately controlled.</w:t>
      </w:r>
    </w:p>
    <w:tbl>
      <w:tblPr>
        <w:tblStyle w:val="LightShading-Accent1"/>
        <w:tblW w:type="auto" w:w="0"/>
        <w:jc w:val="center"/>
        <w:tblLook w:firstColumn="1" w:firstRow="1" w:lastColumn="0" w:lastRow="0" w:noHBand="0" w:noVBand="1" w:val="04A0"/>
      </w:tblPr>
      <w:tblGrid>
        <w:gridCol w:w="4889"/>
        <w:gridCol w:w="4889"/>
      </w:tblGrid>
      <w:tr>
        <w:tc>
          <w:tcPr>
            <w:tcW w:type="dxa" w:w="4889"/>
          </w:tcPr>
          <w:p>
            <w:r>
              <w:rPr>
                <w:sz w:val="18"/>
              </w:rPr>
              <w:t>Pipeline gate</w:t>
            </w:r>
          </w:p>
        </w:tc>
        <w:tc>
          <w:tcPr>
            <w:tcW w:type="dxa" w:w="4889"/>
          </w:tcPr>
          <w:p>
            <w:r>
              <w:rPr>
                <w:sz w:val="18"/>
              </w:rPr>
              <w:t>Example acceptance condition</w:t>
            </w:r>
          </w:p>
        </w:tc>
      </w:tr>
      <w:tr>
        <w:tc>
          <w:tcPr>
            <w:tcW w:type="dxa" w:w="4889"/>
          </w:tcPr>
          <w:p>
            <w:r>
              <w:rPr>
                <w:sz w:val="18"/>
              </w:rPr>
              <w:t>Source and review</w:t>
            </w:r>
          </w:p>
        </w:tc>
        <w:tc>
          <w:tcPr>
            <w:tcW w:type="dxa" w:w="4889"/>
          </w:tcPr>
          <w:p>
            <w:r>
              <w:rPr>
                <w:sz w:val="18"/>
              </w:rPr>
              <w:t>Two-person review for sensitive changes</w:t>
            </w:r>
          </w:p>
        </w:tc>
      </w:tr>
      <w:tr>
        <w:tc>
          <w:tcPr>
            <w:tcW w:type="dxa" w:w="4889"/>
          </w:tcPr>
          <w:p>
            <w:r>
              <w:rPr>
                <w:sz w:val="18"/>
              </w:rPr>
              <w:t>Build quality</w:t>
            </w:r>
          </w:p>
        </w:tc>
        <w:tc>
          <w:tcPr>
            <w:tcW w:type="dxa" w:w="4889"/>
          </w:tcPr>
          <w:p>
            <w:r>
              <w:rPr>
                <w:sz w:val="18"/>
              </w:rPr>
              <w:t>No failed mandatory checks</w:t>
            </w:r>
          </w:p>
        </w:tc>
      </w:tr>
      <w:tr>
        <w:tc>
          <w:tcPr>
            <w:tcW w:type="dxa" w:w="4889"/>
          </w:tcPr>
          <w:p>
            <w:r>
              <w:rPr>
                <w:sz w:val="18"/>
              </w:rPr>
              <w:t>API contract</w:t>
            </w:r>
          </w:p>
        </w:tc>
        <w:tc>
          <w:tcPr>
            <w:tcW w:type="dxa" w:w="4889"/>
          </w:tcPr>
          <w:p>
            <w:r>
              <w:rPr>
                <w:sz w:val="18"/>
              </w:rPr>
              <w:t>Approved status and error schemas preserved</w:t>
            </w:r>
          </w:p>
        </w:tc>
      </w:tr>
      <w:tr>
        <w:tc>
          <w:tcPr>
            <w:tcW w:type="dxa" w:w="4889"/>
          </w:tcPr>
          <w:p>
            <w:r>
              <w:rPr>
                <w:sz w:val="18"/>
              </w:rPr>
              <w:t>Security</w:t>
            </w:r>
          </w:p>
        </w:tc>
        <w:tc>
          <w:tcPr>
            <w:tcW w:type="dxa" w:w="4889"/>
          </w:tcPr>
          <w:p>
            <w:r>
              <w:rPr>
                <w:sz w:val="18"/>
              </w:rPr>
              <w:t>No unresolved release-blocking findings</w:t>
            </w:r>
          </w:p>
        </w:tc>
      </w:tr>
      <w:tr>
        <w:tc>
          <w:tcPr>
            <w:tcW w:type="dxa" w:w="4889"/>
          </w:tcPr>
          <w:p>
            <w:r>
              <w:rPr>
                <w:sz w:val="18"/>
              </w:rPr>
              <w:t>Rollout</w:t>
            </w:r>
          </w:p>
        </w:tc>
        <w:tc>
          <w:tcPr>
            <w:tcW w:type="dxa" w:w="4889"/>
          </w:tcPr>
          <w:p>
            <w:r>
              <w:rPr>
                <w:sz w:val="18"/>
              </w:rPr>
              <w:t>Monitoring and rollback owner assigned</w:t>
            </w:r>
          </w:p>
        </w:tc>
      </w:tr>
    </w:tbl>
    <w:p>
      <w:r>
        <w:br w:type="page"/>
      </w:r>
    </w:p>
    <w:p>
      <w:pPr>
        <w:pStyle w:val="Heading1"/>
      </w:pPr>
      <w:r>
        <w:t>6. Project Scope, Work Breakdown and Scheduling</w:t>
      </w:r>
    </w:p>
    <w:p>
      <w:r>
        <w:t>Planning converts an idea into deliverables, responsibilities, dependencies, budget assumptions and measurable milestones. The following is an illustrative 16-week teaching plan for a small team, not a commercial implementation commitment.</w:t>
      </w:r>
    </w:p>
    <w:p>
      <w:pPr>
        <w:pStyle w:val="Heading2"/>
      </w:pPr>
      <w:r>
        <w:t>Work breakdown structure (WBS)</w:t>
      </w:r>
    </w:p>
    <w:p>
      <w:r>
        <w:t>WBS 1: discovery and feasibility; 2: requirements and UX; 3: architecture and threat modelling; 4: identity and account interfaces; 5: payment journey and status service; 6: support and notifications; 7: integration, verification and release; 8: documentation and post-release readiness.</w:t>
      </w:r>
    </w:p>
    <w:p>
      <w:pPr>
        <w:pStyle w:val="Heading2"/>
      </w:pPr>
      <w:r>
        <w:t>Resource allocation</w:t>
      </w:r>
    </w:p>
    <w:p>
      <w:r>
        <w:t>Illustrative roles: product analyst (0.5 FTE), technical lead (0.5), two developers (2.0), QA engineer (1.0), designer (0.25), and part-time security/operations reviewers (0.5). The equivalent average staffing is approximately 4.75 FTE, with role allocations varying across weeks.</w:t>
      </w:r>
    </w:p>
    <w:p>
      <w:pPr>
        <w:pStyle w:val="Heading2"/>
      </w:pPr>
      <w:r>
        <w:t>Dependencies and checkpoints</w:t>
      </w:r>
    </w:p>
    <w:p>
      <w:r>
        <w:t>Partner/API constraints and the uncertain-payment state machine must be agreed before critical workflows are built. A threat review precedes implementation; contract-test coverage precedes end-to-end staging; release readiness requires evidence, rollback and operational ownership.</w:t>
      </w:r>
    </w:p>
    <w:tbl>
      <w:tblPr>
        <w:tblStyle w:val="LightShading-Accent1"/>
        <w:tblW w:type="auto" w:w="0"/>
        <w:jc w:val="center"/>
        <w:tblLook w:firstColumn="1" w:firstRow="1" w:lastColumn="0" w:lastRow="0" w:noHBand="0" w:noVBand="1" w:val="04A0"/>
      </w:tblPr>
      <w:tblGrid>
        <w:gridCol w:w="3259"/>
        <w:gridCol w:w="3259"/>
        <w:gridCol w:w="3259"/>
      </w:tblGrid>
      <w:tr>
        <w:tc>
          <w:tcPr>
            <w:tcW w:type="dxa" w:w="3259"/>
          </w:tcPr>
          <w:p>
            <w:r>
              <w:rPr>
                <w:sz w:val="18"/>
              </w:rPr>
              <w:t>Activity</w:t>
            </w:r>
          </w:p>
        </w:tc>
        <w:tc>
          <w:tcPr>
            <w:tcW w:type="dxa" w:w="3259"/>
          </w:tcPr>
          <w:p>
            <w:r>
              <w:rPr>
                <w:sz w:val="18"/>
              </w:rPr>
              <w:t>Weeks</w:t>
            </w:r>
          </w:p>
        </w:tc>
        <w:tc>
          <w:tcPr>
            <w:tcW w:type="dxa" w:w="3259"/>
          </w:tcPr>
          <w:p>
            <w:r>
              <w:rPr>
                <w:sz w:val="18"/>
              </w:rPr>
              <w:t>Milestone</w:t>
            </w:r>
          </w:p>
        </w:tc>
      </w:tr>
      <w:tr>
        <w:tc>
          <w:tcPr>
            <w:tcW w:type="dxa" w:w="3259"/>
          </w:tcPr>
          <w:p>
            <w:r>
              <w:rPr>
                <w:sz w:val="18"/>
              </w:rPr>
              <w:t>Discovery, feasibility</w:t>
            </w:r>
          </w:p>
        </w:tc>
        <w:tc>
          <w:tcPr>
            <w:tcW w:type="dxa" w:w="3259"/>
          </w:tcPr>
          <w:p>
            <w:r>
              <w:rPr>
                <w:sz w:val="18"/>
              </w:rPr>
              <w:t>1–2</w:t>
            </w:r>
          </w:p>
        </w:tc>
        <w:tc>
          <w:tcPr>
            <w:tcW w:type="dxa" w:w="3259"/>
          </w:tcPr>
          <w:p>
            <w:r>
              <w:rPr>
                <w:sz w:val="18"/>
              </w:rPr>
              <w:t>Scope and assumptions approved</w:t>
            </w:r>
          </w:p>
        </w:tc>
      </w:tr>
      <w:tr>
        <w:tc>
          <w:tcPr>
            <w:tcW w:type="dxa" w:w="3259"/>
          </w:tcPr>
          <w:p>
            <w:r>
              <w:rPr>
                <w:sz w:val="18"/>
              </w:rPr>
              <w:t>SRS and UX prototype</w:t>
            </w:r>
          </w:p>
        </w:tc>
        <w:tc>
          <w:tcPr>
            <w:tcW w:type="dxa" w:w="3259"/>
          </w:tcPr>
          <w:p>
            <w:r>
              <w:rPr>
                <w:sz w:val="18"/>
              </w:rPr>
              <w:t>3–4</w:t>
            </w:r>
          </w:p>
        </w:tc>
        <w:tc>
          <w:tcPr>
            <w:tcW w:type="dxa" w:w="3259"/>
          </w:tcPr>
          <w:p>
            <w:r>
              <w:rPr>
                <w:sz w:val="18"/>
              </w:rPr>
              <w:t>Requirements baseline</w:t>
            </w:r>
          </w:p>
        </w:tc>
      </w:tr>
      <w:tr>
        <w:tc>
          <w:tcPr>
            <w:tcW w:type="dxa" w:w="3259"/>
          </w:tcPr>
          <w:p>
            <w:r>
              <w:rPr>
                <w:sz w:val="18"/>
              </w:rPr>
              <w:t>Architecture and threat model</w:t>
            </w:r>
          </w:p>
        </w:tc>
        <w:tc>
          <w:tcPr>
            <w:tcW w:type="dxa" w:w="3259"/>
          </w:tcPr>
          <w:p>
            <w:r>
              <w:rPr>
                <w:sz w:val="18"/>
              </w:rPr>
              <w:t>5–6</w:t>
            </w:r>
          </w:p>
        </w:tc>
        <w:tc>
          <w:tcPr>
            <w:tcW w:type="dxa" w:w="3259"/>
          </w:tcPr>
          <w:p>
            <w:r>
              <w:rPr>
                <w:sz w:val="18"/>
              </w:rPr>
              <w:t>Design review</w:t>
            </w:r>
          </w:p>
        </w:tc>
      </w:tr>
      <w:tr>
        <w:tc>
          <w:tcPr>
            <w:tcW w:type="dxa" w:w="3259"/>
          </w:tcPr>
          <w:p>
            <w:r>
              <w:rPr>
                <w:sz w:val="18"/>
              </w:rPr>
              <w:t>Core modules and status tracking</w:t>
            </w:r>
          </w:p>
        </w:tc>
        <w:tc>
          <w:tcPr>
            <w:tcW w:type="dxa" w:w="3259"/>
          </w:tcPr>
          <w:p>
            <w:r>
              <w:rPr>
                <w:sz w:val="18"/>
              </w:rPr>
              <w:t>7–11</w:t>
            </w:r>
          </w:p>
        </w:tc>
        <w:tc>
          <w:tcPr>
            <w:tcW w:type="dxa" w:w="3259"/>
          </w:tcPr>
          <w:p>
            <w:r>
              <w:rPr>
                <w:sz w:val="18"/>
              </w:rPr>
              <w:t>Integrated demo</w:t>
            </w:r>
          </w:p>
        </w:tc>
      </w:tr>
      <w:tr>
        <w:tc>
          <w:tcPr>
            <w:tcW w:type="dxa" w:w="3259"/>
          </w:tcPr>
          <w:p>
            <w:r>
              <w:rPr>
                <w:sz w:val="18"/>
              </w:rPr>
              <w:t>Verification and hardening</w:t>
            </w:r>
          </w:p>
        </w:tc>
        <w:tc>
          <w:tcPr>
            <w:tcW w:type="dxa" w:w="3259"/>
          </w:tcPr>
          <w:p>
            <w:r>
              <w:rPr>
                <w:sz w:val="18"/>
              </w:rPr>
              <w:t>12–14</w:t>
            </w:r>
          </w:p>
        </w:tc>
        <w:tc>
          <w:tcPr>
            <w:tcW w:type="dxa" w:w="3259"/>
          </w:tcPr>
          <w:p>
            <w:r>
              <w:rPr>
                <w:sz w:val="18"/>
              </w:rPr>
              <w:t>Release candidate</w:t>
            </w:r>
          </w:p>
        </w:tc>
      </w:tr>
      <w:tr>
        <w:tc>
          <w:tcPr>
            <w:tcW w:type="dxa" w:w="3259"/>
          </w:tcPr>
          <w:p>
            <w:r>
              <w:rPr>
                <w:sz w:val="18"/>
              </w:rPr>
              <w:t>Pilot, training and handover</w:t>
            </w:r>
          </w:p>
        </w:tc>
        <w:tc>
          <w:tcPr>
            <w:tcW w:type="dxa" w:w="3259"/>
          </w:tcPr>
          <w:p>
            <w:r>
              <w:rPr>
                <w:sz w:val="18"/>
              </w:rPr>
              <w:t>15–16</w:t>
            </w:r>
          </w:p>
        </w:tc>
        <w:tc>
          <w:tcPr>
            <w:tcW w:type="dxa" w:w="3259"/>
          </w:tcPr>
          <w:p>
            <w:r>
              <w:rPr>
                <w:sz w:val="18"/>
              </w:rPr>
              <w:t>Controlled pilot / closure</w:t>
            </w:r>
          </w:p>
        </w:tc>
      </w:tr>
    </w:tbl>
    <w:p>
      <w:pPr>
        <w:pStyle w:val="Heading2"/>
      </w:pPr>
      <w:r>
        <w:t>Textual Gantt summary</w:t>
      </w:r>
    </w:p>
    <w:p>
      <w:r>
        <w:t>Discovery: ██ (W1–2)  |  Requirements: ██ (W3–4)  |  Design: ██ (W5–6)  |  Build: █████ (W7–11)  |  Test: ███ (W12–14)  |  Pilot: ██ (W15–16). Selected testing and documentation tasks should also run earlier, in parallel.</w:t>
      </w:r>
    </w:p>
    <w:p>
      <w:r>
        <w:br w:type="page"/>
      </w:r>
    </w:p>
    <w:p>
      <w:pPr>
        <w:pStyle w:val="Heading1"/>
      </w:pPr>
      <w:r>
        <w:t>7. Software Size, Effort and Cost Estimation</w:t>
      </w:r>
    </w:p>
    <w:p>
      <w:r>
        <w:t>Estimation should expose uncertainty instead of presenting unverified precision. This report demonstrates problem-based and process-based estimation and a simplified COCOMO calculation.</w:t>
      </w:r>
    </w:p>
    <w:p>
      <w:pPr>
        <w:pStyle w:val="Heading2"/>
      </w:pPr>
      <w:r>
        <w:t>Problem-based functional decomposition</w:t>
      </w:r>
    </w:p>
    <w:p>
      <w:r>
        <w:t>The prototype is divided into user onboarding, account view, QR/payee validation, payment request, transaction-state tracking, transaction history, customer support, alerts and administration. An initial size assumption is 12 KLOC (12,000 delivered lines of source), solely for classroom calculation; LOC is not a reliable substitute for measuring real UPI ecosystem complexity.</w:t>
      </w:r>
    </w:p>
    <w:p>
      <w:pPr>
        <w:pStyle w:val="Heading2"/>
      </w:pPr>
      <w:r>
        <w:t>Basic COCOMO worked example</w:t>
      </w:r>
    </w:p>
    <w:p>
      <w:r>
        <w:t>For an illustrative organic project, Effort = 2.4 × (KLOC)^1.05 = 2.4 × 12^1.05 ≈ 32.6 person-months. Development time = 2.5 × (Effort)^0.38 ≈ 9.4 months. Average staffing ≈ 3.5 people. These textbook coefficients are for teaching and may not predict contemporary regulated-system delivery.</w:t>
      </w:r>
    </w:p>
    <w:p>
      <w:pPr>
        <w:pStyle w:val="Heading2"/>
      </w:pPr>
      <w:r>
        <w:t>Process-based estimate</w:t>
      </w:r>
    </w:p>
    <w:p>
      <w:r>
        <w:t>An alternative bottom-up estimate allocates effort to discovery (3 PM), UX/design (4 PM), services and mobile development (12 PM), integrations (6 PM), QA/security (7 PM), and release/hand-over (3 PM), totalling 35 person-months. The difference from COCOMO suggests a useful estimation range rather than an error.</w:t>
      </w:r>
    </w:p>
    <w:p>
      <w:pPr>
        <w:pStyle w:val="Heading2"/>
      </w:pPr>
      <w:r>
        <w:t>Software equation and metrics</w:t>
      </w:r>
    </w:p>
    <w:p>
      <w:r>
        <w:t>Putnam’s software equation relates delivered size, development effort and schedule through a technology factor, making schedule compression visibly expensive. Since a defensible project-calibrated technology constant is unavailable, it is discussed rather than used to fabricate a numerical prediction. Track defect escape rate, change failure rate, test coverage, lead time, recovery time and payment-status ambiguity rate.</w:t>
      </w:r>
    </w:p>
    <w:tbl>
      <w:tblPr>
        <w:tblStyle w:val="LightShading-Accent1"/>
        <w:tblW w:type="auto" w:w="0"/>
        <w:jc w:val="center"/>
        <w:tblLook w:firstColumn="1" w:firstRow="1" w:lastColumn="0" w:lastRow="0" w:noHBand="0" w:noVBand="1" w:val="04A0"/>
      </w:tblPr>
      <w:tblGrid>
        <w:gridCol w:w="4889"/>
        <w:gridCol w:w="4889"/>
      </w:tblGrid>
      <w:tr>
        <w:tc>
          <w:tcPr>
            <w:tcW w:type="dxa" w:w="4889"/>
          </w:tcPr>
          <w:p>
            <w:r>
              <w:rPr>
                <w:sz w:val="18"/>
              </w:rPr>
              <w:t>Teaching estimate</w:t>
            </w:r>
          </w:p>
        </w:tc>
        <w:tc>
          <w:tcPr>
            <w:tcW w:type="dxa" w:w="4889"/>
          </w:tcPr>
          <w:p>
            <w:r>
              <w:rPr>
                <w:sz w:val="18"/>
              </w:rPr>
              <w:t>Value / interpretation</w:t>
            </w:r>
          </w:p>
        </w:tc>
      </w:tr>
      <w:tr>
        <w:tc>
          <w:tcPr>
            <w:tcW w:type="dxa" w:w="4889"/>
          </w:tcPr>
          <w:p>
            <w:r>
              <w:rPr>
                <w:sz w:val="18"/>
              </w:rPr>
              <w:t>Assumed size</w:t>
            </w:r>
          </w:p>
        </w:tc>
        <w:tc>
          <w:tcPr>
            <w:tcW w:type="dxa" w:w="4889"/>
          </w:tcPr>
          <w:p>
            <w:r>
              <w:rPr>
                <w:sz w:val="18"/>
              </w:rPr>
              <w:t>12 KLOC, hypothetical</w:t>
            </w:r>
          </w:p>
        </w:tc>
      </w:tr>
      <w:tr>
        <w:tc>
          <w:tcPr>
            <w:tcW w:type="dxa" w:w="4889"/>
          </w:tcPr>
          <w:p>
            <w:r>
              <w:rPr>
                <w:sz w:val="18"/>
              </w:rPr>
              <w:t>Basic COCOMO effort</w:t>
            </w:r>
          </w:p>
        </w:tc>
        <w:tc>
          <w:tcPr>
            <w:tcW w:type="dxa" w:w="4889"/>
          </w:tcPr>
          <w:p>
            <w:r>
              <w:rPr>
                <w:sz w:val="18"/>
              </w:rPr>
              <w:t>≈32.6 person-months</w:t>
            </w:r>
          </w:p>
        </w:tc>
      </w:tr>
      <w:tr>
        <w:tc>
          <w:tcPr>
            <w:tcW w:type="dxa" w:w="4889"/>
          </w:tcPr>
          <w:p>
            <w:r>
              <w:rPr>
                <w:sz w:val="18"/>
              </w:rPr>
              <w:t>Basic COCOMO time</w:t>
            </w:r>
          </w:p>
        </w:tc>
        <w:tc>
          <w:tcPr>
            <w:tcW w:type="dxa" w:w="4889"/>
          </w:tcPr>
          <w:p>
            <w:r>
              <w:rPr>
                <w:sz w:val="18"/>
              </w:rPr>
              <w:t>≈9.4 months</w:t>
            </w:r>
          </w:p>
        </w:tc>
      </w:tr>
      <w:tr>
        <w:tc>
          <w:tcPr>
            <w:tcW w:type="dxa" w:w="4889"/>
          </w:tcPr>
          <w:p>
            <w:r>
              <w:rPr>
                <w:sz w:val="18"/>
              </w:rPr>
              <w:t>Bottom-up effort</w:t>
            </w:r>
          </w:p>
        </w:tc>
        <w:tc>
          <w:tcPr>
            <w:tcW w:type="dxa" w:w="4889"/>
          </w:tcPr>
          <w:p>
            <w:r>
              <w:rPr>
                <w:sz w:val="18"/>
              </w:rPr>
              <w:t>35 person-months</w:t>
            </w:r>
          </w:p>
        </w:tc>
      </w:tr>
      <w:tr>
        <w:tc>
          <w:tcPr>
            <w:tcW w:type="dxa" w:w="4889"/>
          </w:tcPr>
          <w:p>
            <w:r>
              <w:rPr>
                <w:sz w:val="18"/>
              </w:rPr>
              <w:t>Illustrative blended cost</w:t>
            </w:r>
          </w:p>
        </w:tc>
        <w:tc>
          <w:tcPr>
            <w:tcW w:type="dxa" w:w="4889"/>
          </w:tcPr>
          <w:p>
            <w:r>
              <w:rPr>
                <w:sz w:val="18"/>
              </w:rPr>
              <w:t>₹1.2 lakh/person-month × 35 ≈ ₹42 lakh</w:t>
            </w:r>
          </w:p>
        </w:tc>
      </w:tr>
      <w:tr>
        <w:tc>
          <w:tcPr>
            <w:tcW w:type="dxa" w:w="4889"/>
          </w:tcPr>
          <w:p>
            <w:r>
              <w:rPr>
                <w:sz w:val="18"/>
              </w:rPr>
              <w:t>Contingency illustration</w:t>
            </w:r>
          </w:p>
        </w:tc>
        <w:tc>
          <w:tcPr>
            <w:tcW w:type="dxa" w:w="4889"/>
          </w:tcPr>
          <w:p>
            <w:r>
              <w:rPr>
                <w:sz w:val="18"/>
              </w:rPr>
              <w:t>20% of ₹42 lakh = ₹8.4 lakh; total ≈ ₹50.4 lakh</w:t>
            </w:r>
          </w:p>
        </w:tc>
      </w:tr>
    </w:tbl>
    <w:p>
      <w:r>
        <w:t>The 16-week schedule on the previous page is a staged academic prototype; the COCOMO result indicates why that schedule should not be interpreted as sufficient for a fully regulated production solution.</w:t>
      </w:r>
    </w:p>
    <w:p>
      <w:r>
        <w:br w:type="page"/>
      </w:r>
    </w:p>
    <w:p>
      <w:pPr>
        <w:pStyle w:val="Heading1"/>
      </w:pPr>
      <w:r>
        <w:t>8. Risk Management and Feasibility</w:t>
      </w:r>
    </w:p>
    <w:p>
      <w:r>
        <w:t>Risk management identifies uncertain events, estimates their impact and assigns action owners. Payment-related risk must be reviewed continuously because risk evolves with integrations, platform changes and threats.</w:t>
      </w:r>
    </w:p>
    <w:p>
      <w:pPr>
        <w:pStyle w:val="Heading2"/>
      </w:pPr>
      <w:r>
        <w:t>Feasibility assessment</w:t>
      </w:r>
    </w:p>
    <w:p>
      <w:r>
        <w:t>Technical: APIs, sandbox access and reliable reconciliation design must be available. Economic: expected customer and operational benefits should justify lifecycle costs. Operational: support staff must be able to investigate unknown statuses. Legal/compliance: bank and payment-participant obligations must be assessed by qualified stakeholders. Schedule: a limited pilot is more feasible than a complete banking platform within one term.</w:t>
      </w:r>
    </w:p>
    <w:p>
      <w:pPr>
        <w:pStyle w:val="Heading2"/>
      </w:pPr>
      <w:r>
        <w:t>Risk treatment process</w:t>
      </w:r>
    </w:p>
    <w:p>
      <w:r>
        <w:t>Record each risk with probability, consequence, owner, preventive control, detection method and contingency. Reassess at each sprint and at security/release reviews. “High” priority below is a qualitative teaching judgement, not a measured quantitative risk rating.</w:t>
      </w:r>
    </w:p>
    <w:p>
      <w:pPr>
        <w:pStyle w:val="Heading2"/>
      </w:pPr>
      <w:r>
        <w:t>Threat and privacy considerations</w:t>
      </w:r>
    </w:p>
    <w:p>
      <w:r>
        <w:t>Potential threats include social engineering, account takeover, session theft, tampered clients, API abuse, leakage in logs and denial of service. Mitigations include authorised authentication flows, least privilege, rate limiting, encrypted communications, masked logs, alerting, incident response and regular independent testing.</w:t>
      </w:r>
    </w:p>
    <w:tbl>
      <w:tblPr>
        <w:tblStyle w:val="LightShading-Accent1"/>
        <w:tblW w:type="auto" w:w="0"/>
        <w:jc w:val="center"/>
        <w:tblLook w:firstColumn="1" w:firstRow="1" w:lastColumn="0" w:lastRow="0" w:noHBand="0" w:noVBand="1" w:val="04A0"/>
      </w:tblPr>
      <w:tblGrid>
        <w:gridCol w:w="3259"/>
        <w:gridCol w:w="3259"/>
        <w:gridCol w:w="3259"/>
      </w:tblGrid>
      <w:tr>
        <w:tc>
          <w:tcPr>
            <w:tcW w:type="dxa" w:w="3259"/>
          </w:tcPr>
          <w:p>
            <w:r>
              <w:rPr>
                <w:sz w:val="18"/>
              </w:rPr>
              <w:t>Risk</w:t>
            </w:r>
          </w:p>
        </w:tc>
        <w:tc>
          <w:tcPr>
            <w:tcW w:type="dxa" w:w="3259"/>
          </w:tcPr>
          <w:p>
            <w:r>
              <w:rPr>
                <w:sz w:val="18"/>
              </w:rPr>
              <w:t>Priority</w:t>
            </w:r>
          </w:p>
        </w:tc>
        <w:tc>
          <w:tcPr>
            <w:tcW w:type="dxa" w:w="3259"/>
          </w:tcPr>
          <w:p>
            <w:r>
              <w:rPr>
                <w:sz w:val="18"/>
              </w:rPr>
              <w:t>Mitigation and contingency</w:t>
            </w:r>
          </w:p>
        </w:tc>
      </w:tr>
      <w:tr>
        <w:tc>
          <w:tcPr>
            <w:tcW w:type="dxa" w:w="3259"/>
          </w:tcPr>
          <w:p>
            <w:r>
              <w:rPr>
                <w:sz w:val="18"/>
              </w:rPr>
              <w:t>Unknown payment status</w:t>
            </w:r>
          </w:p>
        </w:tc>
        <w:tc>
          <w:tcPr>
            <w:tcW w:type="dxa" w:w="3259"/>
          </w:tcPr>
          <w:p>
            <w:r>
              <w:rPr>
                <w:sz w:val="18"/>
              </w:rPr>
              <w:t>High</w:t>
            </w:r>
          </w:p>
        </w:tc>
        <w:tc>
          <w:tcPr>
            <w:tcW w:type="dxa" w:w="3259"/>
          </w:tcPr>
          <w:p>
            <w:r>
              <w:rPr>
                <w:sz w:val="18"/>
              </w:rPr>
              <w:t>Persist pending state; query authority; reconcile; customer support</w:t>
            </w:r>
          </w:p>
        </w:tc>
      </w:tr>
      <w:tr>
        <w:tc>
          <w:tcPr>
            <w:tcW w:type="dxa" w:w="3259"/>
          </w:tcPr>
          <w:p>
            <w:r>
              <w:rPr>
                <w:sz w:val="18"/>
              </w:rPr>
              <w:t>Duplicate payment attempt</w:t>
            </w:r>
          </w:p>
        </w:tc>
        <w:tc>
          <w:tcPr>
            <w:tcW w:type="dxa" w:w="3259"/>
          </w:tcPr>
          <w:p>
            <w:r>
              <w:rPr>
                <w:sz w:val="18"/>
              </w:rPr>
              <w:t>High</w:t>
            </w:r>
          </w:p>
        </w:tc>
        <w:tc>
          <w:tcPr>
            <w:tcW w:type="dxa" w:w="3259"/>
          </w:tcPr>
          <w:p>
            <w:r>
              <w:rPr>
                <w:sz w:val="18"/>
              </w:rPr>
              <w:t>Guard repeat actions, identifiers and user warnings</w:t>
            </w:r>
          </w:p>
        </w:tc>
      </w:tr>
      <w:tr>
        <w:tc>
          <w:tcPr>
            <w:tcW w:type="dxa" w:w="3259"/>
          </w:tcPr>
          <w:p>
            <w:r>
              <w:rPr>
                <w:sz w:val="18"/>
              </w:rPr>
              <w:t>Sensitive data leakage</w:t>
            </w:r>
          </w:p>
        </w:tc>
        <w:tc>
          <w:tcPr>
            <w:tcW w:type="dxa" w:w="3259"/>
          </w:tcPr>
          <w:p>
            <w:r>
              <w:rPr>
                <w:sz w:val="18"/>
              </w:rPr>
              <w:t>High</w:t>
            </w:r>
          </w:p>
        </w:tc>
        <w:tc>
          <w:tcPr>
            <w:tcW w:type="dxa" w:w="3259"/>
          </w:tcPr>
          <w:p>
            <w:r>
              <w:rPr>
                <w:sz w:val="18"/>
              </w:rPr>
              <w:t>Data minimisation, access control, secret management</w:t>
            </w:r>
          </w:p>
        </w:tc>
      </w:tr>
      <w:tr>
        <w:tc>
          <w:tcPr>
            <w:tcW w:type="dxa" w:w="3259"/>
          </w:tcPr>
          <w:p>
            <w:r>
              <w:rPr>
                <w:sz w:val="18"/>
              </w:rPr>
              <w:t>Third-party downtime</w:t>
            </w:r>
          </w:p>
        </w:tc>
        <w:tc>
          <w:tcPr>
            <w:tcW w:type="dxa" w:w="3259"/>
          </w:tcPr>
          <w:p>
            <w:r>
              <w:rPr>
                <w:sz w:val="18"/>
              </w:rPr>
              <w:t>High</w:t>
            </w:r>
          </w:p>
        </w:tc>
        <w:tc>
          <w:tcPr>
            <w:tcW w:type="dxa" w:w="3259"/>
          </w:tcPr>
          <w:p>
            <w:r>
              <w:rPr>
                <w:sz w:val="18"/>
              </w:rPr>
              <w:t>Timeouts, backoff, circuit breaker, status retrieval</w:t>
            </w:r>
          </w:p>
        </w:tc>
      </w:tr>
      <w:tr>
        <w:tc>
          <w:tcPr>
            <w:tcW w:type="dxa" w:w="3259"/>
          </w:tcPr>
          <w:p>
            <w:r>
              <w:rPr>
                <w:sz w:val="18"/>
              </w:rPr>
              <w:t>Requirement change</w:t>
            </w:r>
          </w:p>
        </w:tc>
        <w:tc>
          <w:tcPr>
            <w:tcW w:type="dxa" w:w="3259"/>
          </w:tcPr>
          <w:p>
            <w:r>
              <w:rPr>
                <w:sz w:val="18"/>
              </w:rPr>
              <w:t>Medium</w:t>
            </w:r>
          </w:p>
        </w:tc>
        <w:tc>
          <w:tcPr>
            <w:tcW w:type="dxa" w:w="3259"/>
          </w:tcPr>
          <w:p>
            <w:r>
              <w:rPr>
                <w:sz w:val="18"/>
              </w:rPr>
              <w:t>Prioritised backlog and controlled baseline</w:t>
            </w:r>
          </w:p>
        </w:tc>
      </w:tr>
      <w:tr>
        <w:tc>
          <w:tcPr>
            <w:tcW w:type="dxa" w:w="3259"/>
          </w:tcPr>
          <w:p>
            <w:r>
              <w:rPr>
                <w:sz w:val="18"/>
              </w:rPr>
              <w:t>Release defect</w:t>
            </w:r>
          </w:p>
        </w:tc>
        <w:tc>
          <w:tcPr>
            <w:tcW w:type="dxa" w:w="3259"/>
          </w:tcPr>
          <w:p>
            <w:r>
              <w:rPr>
                <w:sz w:val="18"/>
              </w:rPr>
              <w:t>High</w:t>
            </w:r>
          </w:p>
        </w:tc>
        <w:tc>
          <w:tcPr>
            <w:tcW w:type="dxa" w:w="3259"/>
          </w:tcPr>
          <w:p>
            <w:r>
              <w:rPr>
                <w:sz w:val="18"/>
              </w:rPr>
              <w:t>Regression gates, staged rollout and rollback</w:t>
            </w:r>
          </w:p>
        </w:tc>
      </w:tr>
      <w:tr>
        <w:tc>
          <w:tcPr>
            <w:tcW w:type="dxa" w:w="3259"/>
          </w:tcPr>
          <w:p>
            <w:r>
              <w:rPr>
                <w:sz w:val="18"/>
              </w:rPr>
              <w:t>Schedule overrun</w:t>
            </w:r>
          </w:p>
        </w:tc>
        <w:tc>
          <w:tcPr>
            <w:tcW w:type="dxa" w:w="3259"/>
          </w:tcPr>
          <w:p>
            <w:r>
              <w:rPr>
                <w:sz w:val="18"/>
              </w:rPr>
              <w:t>Medium</w:t>
            </w:r>
          </w:p>
        </w:tc>
        <w:tc>
          <w:tcPr>
            <w:tcW w:type="dxa" w:w="3259"/>
          </w:tcPr>
          <w:p>
            <w:r>
              <w:rPr>
                <w:sz w:val="18"/>
              </w:rPr>
              <w:t>Pilot scope, buffers and weekly milestone review</w:t>
            </w:r>
          </w:p>
        </w:tc>
      </w:tr>
    </w:tbl>
    <w:p>
      <w:r>
        <w:br w:type="page"/>
      </w:r>
    </w:p>
    <w:p>
      <w:pPr>
        <w:pStyle w:val="Heading1"/>
      </w:pPr>
      <w:r>
        <w:t>9. Requirements Engineering and SRS</w:t>
      </w:r>
    </w:p>
    <w:p>
      <w:r>
        <w:t>Requirements engineering includes elicitation, analysis, specification, validation and change management. Stakeholder interviews, journey observation, misuse cases and prototype walkthroughs provide complementary evidence. The SRS below is a concise specimen, not a complete regulated-system specification.</w:t>
      </w:r>
    </w:p>
    <w:p>
      <w:pPr>
        <w:pStyle w:val="Heading2"/>
      </w:pPr>
      <w:r>
        <w:t>Functional requirements</w:t>
      </w:r>
    </w:p>
    <w:p>
      <w:r>
        <w:t>FR-01: registered users may link an eligible account via authorised banking mechanisms. FR-02: users can enter a beneficiary identifier or scan a QR and review recipient details. FR-03: the application submits an authorised payment request through approved interfaces. FR-04: the customer sees pending, success or failure only according to authoritative status information. FR-05: transactions are searchable by reference and time. FR-06: users can initiate a complaint using the recorded transaction reference.</w:t>
      </w:r>
    </w:p>
    <w:p>
      <w:pPr>
        <w:pStyle w:val="Heading2"/>
      </w:pPr>
      <w:r>
        <w:t>Non-functional requirements</w:t>
      </w:r>
    </w:p>
    <w:p>
      <w:r>
        <w:t>NFR-01: data in transit must be protected using approved security configurations. NFR-02: sensitive secrets must not be logged. NFR-03: all status transitions must be auditable. NFR-04: screens must remain understandable on poor connectivity. NFR-05: the app should meet an agreed, measured performance SLO under tested workload. NFR-06: accessibility and regional language needs must be considered.</w:t>
      </w:r>
    </w:p>
    <w:p>
      <w:pPr>
        <w:pStyle w:val="Heading2"/>
      </w:pPr>
      <w:r>
        <w:t>Constraints and assumptions</w:t>
      </w:r>
    </w:p>
    <w:p>
      <w:r>
        <w:t>The customer has an eligible bank account and a supported device. The product uses authorised partner APIs; its own database is not the source of truth for bank balance or settlement. Authentication options and limits must follow currently applicable network and regulatory requirements rather than hard-coded assumptions [1], [2], [4].</w:t>
      </w:r>
    </w:p>
    <w:p>
      <w:pPr>
        <w:pStyle w:val="Heading2"/>
      </w:pPr>
      <w:r>
        <w:t>Requirement validation</w:t>
      </w:r>
    </w:p>
    <w:p>
      <w:r>
        <w:t>Review each requirement for correctness, consistency, feasibility, testability and traceability. For FR-04, “always fast” is not testable; “display pending within the specified UI timeout and keep polling with defined limits until authoritative resolution” is clearer.</w:t>
      </w:r>
    </w:p>
    <w:tbl>
      <w:tblPr>
        <w:tblStyle w:val="LightShading-Accent1"/>
        <w:tblW w:type="auto" w:w="0"/>
        <w:jc w:val="center"/>
        <w:tblLook w:firstColumn="1" w:firstRow="1" w:lastColumn="0" w:lastRow="0" w:noHBand="0" w:noVBand="1" w:val="04A0"/>
      </w:tblPr>
      <w:tblGrid>
        <w:gridCol w:w="4889"/>
        <w:gridCol w:w="4889"/>
      </w:tblGrid>
      <w:tr>
        <w:tc>
          <w:tcPr>
            <w:tcW w:type="dxa" w:w="4889"/>
          </w:tcPr>
          <w:p>
            <w:r>
              <w:rPr>
                <w:sz w:val="18"/>
              </w:rPr>
              <w:t>ID</w:t>
            </w:r>
          </w:p>
        </w:tc>
        <w:tc>
          <w:tcPr>
            <w:tcW w:type="dxa" w:w="4889"/>
          </w:tcPr>
          <w:p>
            <w:r>
              <w:rPr>
                <w:sz w:val="18"/>
              </w:rPr>
              <w:t>Acceptance evidence</w:t>
            </w:r>
          </w:p>
        </w:tc>
      </w:tr>
      <w:tr>
        <w:tc>
          <w:tcPr>
            <w:tcW w:type="dxa" w:w="4889"/>
          </w:tcPr>
          <w:p>
            <w:r>
              <w:rPr>
                <w:sz w:val="18"/>
              </w:rPr>
              <w:t>FR-02</w:t>
            </w:r>
          </w:p>
        </w:tc>
        <w:tc>
          <w:tcPr>
            <w:tcW w:type="dxa" w:w="4889"/>
          </w:tcPr>
          <w:p>
            <w:r>
              <w:rPr>
                <w:sz w:val="18"/>
              </w:rPr>
              <w:t>QR/payee details verified before confirmation</w:t>
            </w:r>
          </w:p>
        </w:tc>
      </w:tr>
      <w:tr>
        <w:tc>
          <w:tcPr>
            <w:tcW w:type="dxa" w:w="4889"/>
          </w:tcPr>
          <w:p>
            <w:r>
              <w:rPr>
                <w:sz w:val="18"/>
              </w:rPr>
              <w:t>FR-04</w:t>
            </w:r>
          </w:p>
        </w:tc>
        <w:tc>
          <w:tcPr>
            <w:tcW w:type="dxa" w:w="4889"/>
          </w:tcPr>
          <w:p>
            <w:r>
              <w:rPr>
                <w:sz w:val="18"/>
              </w:rPr>
              <w:t>Timeout case never falsely displays “failed”</w:t>
            </w:r>
          </w:p>
        </w:tc>
      </w:tr>
      <w:tr>
        <w:tc>
          <w:tcPr>
            <w:tcW w:type="dxa" w:w="4889"/>
          </w:tcPr>
          <w:p>
            <w:r>
              <w:rPr>
                <w:sz w:val="18"/>
              </w:rPr>
              <w:t>FR-05</w:t>
            </w:r>
          </w:p>
        </w:tc>
        <w:tc>
          <w:tcPr>
            <w:tcW w:type="dxa" w:w="4889"/>
          </w:tcPr>
          <w:p>
            <w:r>
              <w:rPr>
                <w:sz w:val="18"/>
              </w:rPr>
              <w:t>Reference-based history returns permitted records</w:t>
            </w:r>
          </w:p>
        </w:tc>
      </w:tr>
      <w:tr>
        <w:tc>
          <w:tcPr>
            <w:tcW w:type="dxa" w:w="4889"/>
          </w:tcPr>
          <w:p>
            <w:r>
              <w:rPr>
                <w:sz w:val="18"/>
              </w:rPr>
              <w:t>FR-06</w:t>
            </w:r>
          </w:p>
        </w:tc>
        <w:tc>
          <w:tcPr>
            <w:tcW w:type="dxa" w:w="4889"/>
          </w:tcPr>
          <w:p>
            <w:r>
              <w:rPr>
                <w:sz w:val="18"/>
              </w:rPr>
              <w:t>Support request links to transaction record</w:t>
            </w:r>
          </w:p>
        </w:tc>
      </w:tr>
      <w:tr>
        <w:tc>
          <w:tcPr>
            <w:tcW w:type="dxa" w:w="4889"/>
          </w:tcPr>
          <w:p>
            <w:r>
              <w:rPr>
                <w:sz w:val="18"/>
              </w:rPr>
              <w:t>NFR-02</w:t>
            </w:r>
          </w:p>
        </w:tc>
        <w:tc>
          <w:tcPr>
            <w:tcW w:type="dxa" w:w="4889"/>
          </w:tcPr>
          <w:p>
            <w:r>
              <w:rPr>
                <w:sz w:val="18"/>
              </w:rPr>
              <w:t>Logging checks show no credentials or PIN values</w:t>
            </w:r>
          </w:p>
        </w:tc>
      </w:tr>
    </w:tbl>
    <w:p>
      <w:r>
        <w:br w:type="page"/>
      </w:r>
    </w:p>
    <w:p>
      <w:pPr>
        <w:pStyle w:val="Heading1"/>
      </w:pPr>
      <w:r>
        <w:t>10. Context Diagram, DFD and Data Dictionary</w:t>
      </w:r>
    </w:p>
    <w:p>
      <w:r>
        <w:t>Structured analysis describes how information flows without assuming that a UI is the entire system. The DFDs here are illustrative logical models; actual partner messages and protocol fields are intentionally omitted.</w:t>
      </w:r>
    </w:p>
    <w:p>
      <w:pPr>
        <w:pStyle w:val="Heading2"/>
      </w:pPr>
      <w:r>
        <w:t>Context diagram (Level 0)</w:t>
      </w:r>
    </w:p>
    <w:p>
      <w:r>
        <w:t>External entities: Customer, Merchant/Payee, Bank/PSP Payment Service and Support Agent. Central process: CampusBank UPI System. Customer provides payee and amount and receives receipt/status; partner service receives permitted initiation/status queries and returns references/results; support agent receives authorised case information.</w:t>
      </w:r>
    </w:p>
    <w:p>
      <w:pPr>
        <w:pStyle w:val="Heading2"/>
      </w:pPr>
      <w:r>
        <w:t>Level 1 DFD decomposition</w:t>
      </w:r>
    </w:p>
    <w:p>
      <w:r>
        <w:t>Process 1.0 User &amp; Session Management; 2.0 Payee Validation; 3.0 Payment Initiation; 4.0 Status Resolution &amp; Reconciliation; 5.0 History &amp; Notifications; 6.0 Complaint Handling. Stores: D1 User Profile, D2 Transaction Metadata, D3 Audit Events, D4 Support Cases. The transaction store holds status and references, not a substitute bank ledger.</w:t>
      </w:r>
    </w:p>
    <w:p>
      <w:pPr>
        <w:pStyle w:val="Heading2"/>
      </w:pPr>
      <w:r>
        <w:t>Important data-flow invariant</w:t>
      </w:r>
    </w:p>
    <w:p>
      <w:r>
        <w:t>Process 4.0 must resolve uncertain states through authorised status sources rather than deciding outcomes from an HTTP timeout alone. An app-level timeout proves that the phone did not receive a timely response; it does not prove that funds were never debited.</w:t>
      </w:r>
    </w:p>
    <w:tbl>
      <w:tblPr>
        <w:tblStyle w:val="LightShading-Accent1"/>
        <w:tblW w:type="auto" w:w="0"/>
        <w:jc w:val="center"/>
        <w:tblLook w:firstColumn="1" w:firstRow="1" w:lastColumn="0" w:lastRow="0" w:noHBand="0" w:noVBand="1" w:val="04A0"/>
      </w:tblPr>
      <w:tblGrid>
        <w:gridCol w:w="4889"/>
        <w:gridCol w:w="4889"/>
      </w:tblGrid>
      <w:tr>
        <w:tc>
          <w:tcPr>
            <w:tcW w:type="dxa" w:w="4889"/>
          </w:tcPr>
          <w:p>
            <w:r>
              <w:rPr>
                <w:sz w:val="18"/>
              </w:rPr>
              <w:t>Data item</w:t>
            </w:r>
          </w:p>
        </w:tc>
        <w:tc>
          <w:tcPr>
            <w:tcW w:type="dxa" w:w="4889"/>
          </w:tcPr>
          <w:p>
            <w:r>
              <w:rPr>
                <w:sz w:val="18"/>
              </w:rPr>
              <w:t>Meaning / validation</w:t>
            </w:r>
          </w:p>
        </w:tc>
      </w:tr>
      <w:tr>
        <w:tc>
          <w:tcPr>
            <w:tcW w:type="dxa" w:w="4889"/>
          </w:tcPr>
          <w:p>
            <w:r>
              <w:rPr>
                <w:sz w:val="18"/>
              </w:rPr>
              <w:t>TransactionRef</w:t>
            </w:r>
          </w:p>
        </w:tc>
        <w:tc>
          <w:tcPr>
            <w:tcW w:type="dxa" w:w="4889"/>
          </w:tcPr>
          <w:p>
            <w:r>
              <w:rPr>
                <w:sz w:val="18"/>
              </w:rPr>
              <w:t>Unique reference used to correlate status and support</w:t>
            </w:r>
          </w:p>
        </w:tc>
      </w:tr>
      <w:tr>
        <w:tc>
          <w:tcPr>
            <w:tcW w:type="dxa" w:w="4889"/>
          </w:tcPr>
          <w:p>
            <w:r>
              <w:rPr>
                <w:sz w:val="18"/>
              </w:rPr>
              <w:t>PayerUserId</w:t>
            </w:r>
          </w:p>
        </w:tc>
        <w:tc>
          <w:tcPr>
            <w:tcW w:type="dxa" w:w="4889"/>
          </w:tcPr>
          <w:p>
            <w:r>
              <w:rPr>
                <w:sz w:val="18"/>
              </w:rPr>
              <w:t>Internal pseudonymous user identifier</w:t>
            </w:r>
          </w:p>
        </w:tc>
      </w:tr>
      <w:tr>
        <w:tc>
          <w:tcPr>
            <w:tcW w:type="dxa" w:w="4889"/>
          </w:tcPr>
          <w:p>
            <w:r>
              <w:rPr>
                <w:sz w:val="18"/>
              </w:rPr>
              <w:t>PayeeAlias</w:t>
            </w:r>
          </w:p>
        </w:tc>
        <w:tc>
          <w:tcPr>
            <w:tcW w:type="dxa" w:w="4889"/>
          </w:tcPr>
          <w:p>
            <w:r>
              <w:rPr>
                <w:sz w:val="18"/>
              </w:rPr>
              <w:t>Validated recipient identifier / masked label</w:t>
            </w:r>
          </w:p>
        </w:tc>
      </w:tr>
      <w:tr>
        <w:tc>
          <w:tcPr>
            <w:tcW w:type="dxa" w:w="4889"/>
          </w:tcPr>
          <w:p>
            <w:r>
              <w:rPr>
                <w:sz w:val="18"/>
              </w:rPr>
              <w:t>Amount</w:t>
            </w:r>
          </w:p>
        </w:tc>
        <w:tc>
          <w:tcPr>
            <w:tcW w:type="dxa" w:w="4889"/>
          </w:tcPr>
          <w:p>
            <w:r>
              <w:rPr>
                <w:sz w:val="18"/>
              </w:rPr>
              <w:t>Positive amount within applicable policy/limit</w:t>
            </w:r>
          </w:p>
        </w:tc>
      </w:tr>
      <w:tr>
        <w:tc>
          <w:tcPr>
            <w:tcW w:type="dxa" w:w="4889"/>
          </w:tcPr>
          <w:p>
            <w:r>
              <w:rPr>
                <w:sz w:val="18"/>
              </w:rPr>
              <w:t>Status</w:t>
            </w:r>
          </w:p>
        </w:tc>
        <w:tc>
          <w:tcPr>
            <w:tcW w:type="dxa" w:w="4889"/>
          </w:tcPr>
          <w:p>
            <w:r>
              <w:rPr>
                <w:sz w:val="18"/>
              </w:rPr>
              <w:t>Initiated, pending, succeeded, failed or reversed as applicable</w:t>
            </w:r>
          </w:p>
        </w:tc>
      </w:tr>
      <w:tr>
        <w:tc>
          <w:tcPr>
            <w:tcW w:type="dxa" w:w="4889"/>
          </w:tcPr>
          <w:p>
            <w:r>
              <w:rPr>
                <w:sz w:val="18"/>
              </w:rPr>
              <w:t>EventTime</w:t>
            </w:r>
          </w:p>
        </w:tc>
        <w:tc>
          <w:tcPr>
            <w:tcW w:type="dxa" w:w="4889"/>
          </w:tcPr>
          <w:p>
            <w:r>
              <w:rPr>
                <w:sz w:val="18"/>
              </w:rPr>
              <w:t>Recorded timestamp with time-zone handling</w:t>
            </w:r>
          </w:p>
        </w:tc>
      </w:tr>
      <w:tr>
        <w:tc>
          <w:tcPr>
            <w:tcW w:type="dxa" w:w="4889"/>
          </w:tcPr>
          <w:p>
            <w:r>
              <w:rPr>
                <w:sz w:val="18"/>
              </w:rPr>
              <w:t>ComplaintId</w:t>
            </w:r>
          </w:p>
        </w:tc>
        <w:tc>
          <w:tcPr>
            <w:tcW w:type="dxa" w:w="4889"/>
          </w:tcPr>
          <w:p>
            <w:r>
              <w:rPr>
                <w:sz w:val="18"/>
              </w:rPr>
              <w:t>Support reference linked to permitted transaction record</w:t>
            </w:r>
          </w:p>
        </w:tc>
      </w:tr>
    </w:tbl>
    <w:p>
      <w:pPr>
        <w:pStyle w:val="Heading2"/>
      </w:pPr>
      <w:r>
        <w:t>Illustrative logical DFD</w:t>
      </w:r>
    </w:p>
    <w:p>
      <w:r>
        <w:t>Customer → (2.0 Payee Validation) → (3.0 Initiate Payment) ↔ Bank/PSP Service → (4.0 Resolve Status) → D2 Transaction Metadata → (5.0 History &amp; Alert) → Customer. Customer → (6.0 Complaint) → D4 Support Cases → Support Agent.</w:t>
      </w:r>
    </w:p>
    <w:p>
      <w:r>
        <w:br w:type="page"/>
      </w:r>
    </w:p>
    <w:p>
      <w:pPr>
        <w:pStyle w:val="Heading1"/>
      </w:pPr>
      <w:r>
        <w:t>11. ERD, Use Cases and UML Models</w:t>
      </w:r>
    </w:p>
    <w:p>
      <w:r>
        <w:t>The proposed models translate requirements into entity relationships, actors, object structures and behavioural interactions. They are intentionally platform-agnostic.</w:t>
      </w:r>
    </w:p>
    <w:p>
      <w:pPr>
        <w:pStyle w:val="Heading2"/>
      </w:pPr>
      <w:r>
        <w:t>ER model</w:t>
      </w:r>
    </w:p>
    <w:p>
      <w:r>
        <w:t>USER (UserId PK) has many LINKED_ACCOUNT (AccountLinkId PK, UserId FK); USER initiates many TRANSACTION (TxnId PK, UserId FK, Status, Amount, ExternalRef); TRANSACTION has many STATUS_EVENT (EventId PK, TxnId FK, EventType, Time); TRANSACTION may have many SUPPORT_CASE (CaseId PK, TxnId FK). Keep only minimal permitted user and financial metadata.</w:t>
      </w:r>
    </w:p>
    <w:p>
      <w:pPr>
        <w:pStyle w:val="Heading2"/>
      </w:pPr>
      <w:r>
        <w:t>Use case diagram in words</w:t>
      </w:r>
    </w:p>
    <w:p>
      <w:r>
        <w:t>Customer: link account, view permitted balance, scan/pay, view history, check status, report issue. Merchant: display payment alias/QR and confirm received status in its own authorised context. Operations actor: inspect authorised audit data, manage incident and oversee reconciliation. Include “authenticate transaction” and “resolve status” in the payment workflow.</w:t>
      </w:r>
    </w:p>
    <w:p>
      <w:pPr>
        <w:pStyle w:val="Heading2"/>
      </w:pPr>
      <w:r>
        <w:t>Class diagram concept</w:t>
      </w:r>
    </w:p>
    <w:p>
      <w:r>
        <w:t>PaymentController delegates to PaymentService; PaymentService uses BankGateway, TransactionRepository, AuditLogger and NotificationService. A Transaction object exposes a validated state-transition method. The BankGateway interface hides external integration details and makes testing with mocks possible.</w:t>
      </w:r>
    </w:p>
    <w:p>
      <w:pPr>
        <w:pStyle w:val="Heading2"/>
      </w:pPr>
      <w:r>
        <w:t>Sequence diagram: ambiguous outcome</w:t>
      </w:r>
    </w:p>
    <w:p>
      <w:r>
        <w:t>Customer → App: confirm payment; App → Backend: initiate; Backend → Authorised Gateway: submit; network times out; Backend → Repository: mark pending; App → Customer: pending/verify status; StatusWorker → Gateway: retrieve authoritative status; Worker → Repository: record result; App → Customer: updated outcome.</w:t>
      </w:r>
    </w:p>
    <w:p>
      <w:pPr>
        <w:pStyle w:val="Heading2"/>
      </w:pPr>
      <w:r>
        <w:t>Activity diagram concept</w:t>
      </w:r>
    </w:p>
    <w:p>
      <w:r>
        <w:t>Start → login/account validation → enter/scan payee → verify details → enter amount → confirm/authenticate → submit → [authoritative result?] success/failure OR pending → status retrieval/reconciliation → notify → End.</w:t>
      </w:r>
    </w:p>
    <w:p>
      <w:pPr>
        <w:pStyle w:val="Heading2"/>
      </w:pPr>
      <w:r>
        <w:t>Relationship sketch</w:t>
      </w:r>
    </w:p>
    <w:p>
      <w:r>
        <w:t>USER 1 ── * LINKED_ACCOUNT  |  USER 1 ── * TRANSACTION  |  TRANSACTION 1 ── * STATUS_EVENT  |  TRANSACTION 1 ── * SUPPORT_CASE</w:t>
      </w:r>
    </w:p>
    <w:p>
      <w:r>
        <w:br w:type="page"/>
      </w:r>
    </w:p>
    <w:p>
      <w:pPr>
        <w:pStyle w:val="Heading1"/>
      </w:pPr>
      <w:r>
        <w:t>12. Architecture and Detailed Software Design</w:t>
      </w:r>
    </w:p>
    <w:p>
      <w:r>
        <w:t>The solution adopts layered, modular design to isolate payment rules from mobile presentation and external partner interfaces. In payment software, clarity of boundaries also supports defect isolation and auditability.</w:t>
      </w:r>
    </w:p>
    <w:p>
      <w:pPr>
        <w:pStyle w:val="Heading2"/>
      </w:pPr>
      <w:r>
        <w:t>Architecture</w:t>
      </w:r>
    </w:p>
    <w:p>
      <w:r>
        <w:t>Presentation: Android/iOS app and accessible interface. API layer: session management, request validation, rate limiting. Application services: payee validation, orchestration, state management, history and cases. Integration adapters: authorised bank/PSP endpoints. Persistence: encrypted or suitably protected profile, transaction metadata and audit stores. Platform services: observability, secret management and deployment automation.</w:t>
      </w:r>
    </w:p>
    <w:p>
      <w:pPr>
        <w:pStyle w:val="Heading2"/>
      </w:pPr>
      <w:r>
        <w:t>Abstraction, modularity, cohesion and coupling</w:t>
      </w:r>
    </w:p>
    <w:p>
      <w:r>
        <w:t>Abstraction expresses “submitPayment” as a business operation without leaking network protocol details to the UI. High cohesion keeps status resolution in a dedicated module; low coupling is encouraged via contracts and interfaces. This reduces the blast radius when a partner API or mobile framework changes.</w:t>
      </w:r>
    </w:p>
    <w:p>
      <w:pPr>
        <w:pStyle w:val="Heading2"/>
      </w:pPr>
      <w:r>
        <w:t>Architectural, data and procedural design</w:t>
      </w:r>
    </w:p>
    <w:p>
      <w:r>
        <w:t>Architecture is component distribution and communication; data design defines entities, retention and access; procedural design defines validated payment-state transitions. The crucial invariant is that a client timeout cannot independently change a pending transaction into confirmed failed.</w:t>
      </w:r>
    </w:p>
    <w:p>
      <w:pPr>
        <w:pStyle w:val="Heading2"/>
      </w:pPr>
      <w:r>
        <w:t>OO design and design patterns</w:t>
      </w:r>
    </w:p>
    <w:p>
      <w:r>
        <w:t>Singleton can centralise a stateless configuration provider when tightly constrained, although global mutable singletons harm testability. A Factory selects a permitted bank adapter by integration configuration. Strategy can encapsulate differing retry policies, and an explicit state machine limits invalid status transitions.</w:t>
      </w:r>
    </w:p>
    <w:p>
      <w:pPr>
        <w:pStyle w:val="Heading2"/>
      </w:pPr>
      <w:r>
        <w:t>Security by design</w:t>
      </w:r>
    </w:p>
    <w:p>
      <w:r>
        <w:t>Threat modelling, least privilege, validation, secure logging, testing and controlled release should be built into the lifecycle. RBI’s digital-payment security directions address secure application lifecycle, testing and authentication for covered institutions [2]; regulatory applicability requires separate review.</w:t>
      </w:r>
    </w:p>
    <w:tbl>
      <w:tblPr>
        <w:tblStyle w:val="LightShading-Accent1"/>
        <w:tblW w:type="auto" w:w="0"/>
        <w:jc w:val="center"/>
        <w:tblLook w:firstColumn="1" w:firstRow="1" w:lastColumn="0" w:lastRow="0" w:noHBand="0" w:noVBand="1" w:val="04A0"/>
      </w:tblPr>
      <w:tblGrid>
        <w:gridCol w:w="4889"/>
        <w:gridCol w:w="4889"/>
      </w:tblGrid>
      <w:tr>
        <w:tc>
          <w:tcPr>
            <w:tcW w:type="dxa" w:w="4889"/>
          </w:tcPr>
          <w:p>
            <w:r>
              <w:rPr>
                <w:sz w:val="18"/>
              </w:rPr>
              <w:t>Design decision</w:t>
            </w:r>
          </w:p>
        </w:tc>
        <w:tc>
          <w:tcPr>
            <w:tcW w:type="dxa" w:w="4889"/>
          </w:tcPr>
          <w:p>
            <w:r>
              <w:rPr>
                <w:sz w:val="18"/>
              </w:rPr>
              <w:t>Reason</w:t>
            </w:r>
          </w:p>
        </w:tc>
      </w:tr>
      <w:tr>
        <w:tc>
          <w:tcPr>
            <w:tcW w:type="dxa" w:w="4889"/>
          </w:tcPr>
          <w:p>
            <w:r>
              <w:rPr>
                <w:sz w:val="18"/>
              </w:rPr>
              <w:t>Dedicated status-resolution service</w:t>
            </w:r>
          </w:p>
        </w:tc>
        <w:tc>
          <w:tcPr>
            <w:tcW w:type="dxa" w:w="4889"/>
          </w:tcPr>
          <w:p>
            <w:r>
              <w:rPr>
                <w:sz w:val="18"/>
              </w:rPr>
              <w:t>Separates uncertain outcomes from UI assumptions</w:t>
            </w:r>
          </w:p>
        </w:tc>
      </w:tr>
      <w:tr>
        <w:tc>
          <w:tcPr>
            <w:tcW w:type="dxa" w:w="4889"/>
          </w:tcPr>
          <w:p>
            <w:r>
              <w:rPr>
                <w:sz w:val="18"/>
              </w:rPr>
              <w:t>Gateway interface + stubs</w:t>
            </w:r>
          </w:p>
        </w:tc>
        <w:tc>
          <w:tcPr>
            <w:tcW w:type="dxa" w:w="4889"/>
          </w:tcPr>
          <w:p>
            <w:r>
              <w:rPr>
                <w:sz w:val="18"/>
              </w:rPr>
              <w:t>Improves contract tests and replacement safety</w:t>
            </w:r>
          </w:p>
        </w:tc>
      </w:tr>
      <w:tr>
        <w:tc>
          <w:tcPr>
            <w:tcW w:type="dxa" w:w="4889"/>
          </w:tcPr>
          <w:p>
            <w:r>
              <w:rPr>
                <w:sz w:val="18"/>
              </w:rPr>
              <w:t>Append-only audit events</w:t>
            </w:r>
          </w:p>
        </w:tc>
        <w:tc>
          <w:tcPr>
            <w:tcW w:type="dxa" w:w="4889"/>
          </w:tcPr>
          <w:p>
            <w:r>
              <w:rPr>
                <w:sz w:val="18"/>
              </w:rPr>
              <w:t>Supports investigation and traceability</w:t>
            </w:r>
          </w:p>
        </w:tc>
      </w:tr>
      <w:tr>
        <w:tc>
          <w:tcPr>
            <w:tcW w:type="dxa" w:w="4889"/>
          </w:tcPr>
          <w:p>
            <w:r>
              <w:rPr>
                <w:sz w:val="18"/>
              </w:rPr>
              <w:t>Minimal stored payment metadata</w:t>
            </w:r>
          </w:p>
        </w:tc>
        <w:tc>
          <w:tcPr>
            <w:tcW w:type="dxa" w:w="4889"/>
          </w:tcPr>
          <w:p>
            <w:r>
              <w:rPr>
                <w:sz w:val="18"/>
              </w:rPr>
              <w:t>Reduces sensitive-data exposure</w:t>
            </w:r>
          </w:p>
        </w:tc>
      </w:tr>
      <w:tr>
        <w:tc>
          <w:tcPr>
            <w:tcW w:type="dxa" w:w="4889"/>
          </w:tcPr>
          <w:p>
            <w:r>
              <w:rPr>
                <w:sz w:val="18"/>
              </w:rPr>
              <w:t>Feature flags and staged rollout</w:t>
            </w:r>
          </w:p>
        </w:tc>
        <w:tc>
          <w:tcPr>
            <w:tcW w:type="dxa" w:w="4889"/>
          </w:tcPr>
          <w:p>
            <w:r>
              <w:rPr>
                <w:sz w:val="18"/>
              </w:rPr>
              <w:t>Makes operational risk easier to control</w:t>
            </w:r>
          </w:p>
        </w:tc>
      </w:tr>
    </w:tbl>
    <w:p>
      <w:r>
        <w:br w:type="page"/>
      </w:r>
    </w:p>
    <w:p>
      <w:pPr>
        <w:pStyle w:val="Heading1"/>
      </w:pPr>
      <w:r>
        <w:t>13. Software Quality and SQA</w:t>
      </w:r>
    </w:p>
    <w:p>
      <w:r>
        <w:t>Quality is the degree to which the system satisfies functional and non-functional needs under real usage conditions. User-visible success depends on correct results, secure transactions, resilient operation and understandable status.</w:t>
      </w:r>
    </w:p>
    <w:p>
      <w:pPr>
        <w:pStyle w:val="Heading2"/>
      </w:pPr>
      <w:r>
        <w:t>Quality attributes</w:t>
      </w:r>
    </w:p>
    <w:p>
      <w:r>
        <w:t>ISO/IEC 25010 provides a software product quality perspective including functional suitability, performance efficiency, compatibility, interaction capability, reliability, security, maintainability and flexibility (terminology may vary by edition). These categories provide a checklist for requirements and verification rather than an automatic compliance certificate.</w:t>
      </w:r>
    </w:p>
    <w:p>
      <w:pPr>
        <w:pStyle w:val="Heading2"/>
      </w:pPr>
      <w:r>
        <w:t>McCall’s quality factors</w:t>
      </w:r>
    </w:p>
    <w:p>
      <w:r>
        <w:t>McCall groups factors around product operation (correctness, reliability, efficiency, integrity, usability), revision (maintainability, flexibility, testability) and transition (portability, reusability, interoperability). For UPI, integrity and interoperability are especially salient because payment outcomes cross organisational boundaries.</w:t>
      </w:r>
    </w:p>
    <w:p>
      <w:pPr>
        <w:pStyle w:val="Heading2"/>
      </w:pPr>
      <w:r>
        <w:t>SQA activities</w:t>
      </w:r>
    </w:p>
    <w:p>
      <w:r>
        <w:t>SQA defines process standards; reviews SRS and design; maintains a requirement–test traceability matrix; audits code and configuration; oversees defect classification; reviews test evidence; tracks quality metrics; verifies release gates; and records lessons from operational incidents.</w:t>
      </w:r>
    </w:p>
    <w:p>
      <w:pPr>
        <w:pStyle w:val="Heading2"/>
      </w:pPr>
      <w:r>
        <w:t>Measurable quality objectives</w:t>
      </w:r>
    </w:p>
    <w:p>
      <w:r>
        <w:t>Example project targets—not claims about existing providers—include 100% coverage of critical payment-state transition cases, no known release-blocking security findings, audited access to sensitive operations, and a defined performance threshold under a representative load. Targets require baselines, monitoring and stakeholder approval.</w:t>
      </w:r>
    </w:p>
    <w:tbl>
      <w:tblPr>
        <w:tblStyle w:val="LightShading-Accent1"/>
        <w:tblW w:type="auto" w:w="0"/>
        <w:jc w:val="center"/>
        <w:tblLook w:firstColumn="1" w:firstRow="1" w:lastColumn="0" w:lastRow="0" w:noHBand="0" w:noVBand="1" w:val="04A0"/>
      </w:tblPr>
      <w:tblGrid>
        <w:gridCol w:w="4889"/>
        <w:gridCol w:w="4889"/>
      </w:tblGrid>
      <w:tr>
        <w:tc>
          <w:tcPr>
            <w:tcW w:type="dxa" w:w="4889"/>
          </w:tcPr>
          <w:p>
            <w:r>
              <w:rPr>
                <w:sz w:val="18"/>
              </w:rPr>
              <w:t>Attribute</w:t>
            </w:r>
          </w:p>
        </w:tc>
        <w:tc>
          <w:tcPr>
            <w:tcW w:type="dxa" w:w="4889"/>
          </w:tcPr>
          <w:p>
            <w:r>
              <w:rPr>
                <w:sz w:val="18"/>
              </w:rPr>
              <w:t>Suggested evidence</w:t>
            </w:r>
          </w:p>
        </w:tc>
      </w:tr>
      <w:tr>
        <w:tc>
          <w:tcPr>
            <w:tcW w:type="dxa" w:w="4889"/>
          </w:tcPr>
          <w:p>
            <w:r>
              <w:rPr>
                <w:sz w:val="18"/>
              </w:rPr>
              <w:t>Functional suitability</w:t>
            </w:r>
          </w:p>
        </w:tc>
        <w:tc>
          <w:tcPr>
            <w:tcW w:type="dxa" w:w="4889"/>
          </w:tcPr>
          <w:p>
            <w:r>
              <w:rPr>
                <w:sz w:val="18"/>
              </w:rPr>
              <w:t>Requirements acceptance tests</w:t>
            </w:r>
          </w:p>
        </w:tc>
      </w:tr>
      <w:tr>
        <w:tc>
          <w:tcPr>
            <w:tcW w:type="dxa" w:w="4889"/>
          </w:tcPr>
          <w:p>
            <w:r>
              <w:rPr>
                <w:sz w:val="18"/>
              </w:rPr>
              <w:t>Reliability</w:t>
            </w:r>
          </w:p>
        </w:tc>
        <w:tc>
          <w:tcPr>
            <w:tcW w:type="dxa" w:w="4889"/>
          </w:tcPr>
          <w:p>
            <w:r>
              <w:rPr>
                <w:sz w:val="18"/>
              </w:rPr>
              <w:t>Fault injection, recovery and reconciliation tests</w:t>
            </w:r>
          </w:p>
        </w:tc>
      </w:tr>
      <w:tr>
        <w:tc>
          <w:tcPr>
            <w:tcW w:type="dxa" w:w="4889"/>
          </w:tcPr>
          <w:p>
            <w:r>
              <w:rPr>
                <w:sz w:val="18"/>
              </w:rPr>
              <w:t>Security</w:t>
            </w:r>
          </w:p>
        </w:tc>
        <w:tc>
          <w:tcPr>
            <w:tcW w:type="dxa" w:w="4889"/>
          </w:tcPr>
          <w:p>
            <w:r>
              <w:rPr>
                <w:sz w:val="18"/>
              </w:rPr>
              <w:t>Threat model, SAST/DAST, VA/PT reports</w:t>
            </w:r>
          </w:p>
        </w:tc>
      </w:tr>
      <w:tr>
        <w:tc>
          <w:tcPr>
            <w:tcW w:type="dxa" w:w="4889"/>
          </w:tcPr>
          <w:p>
            <w:r>
              <w:rPr>
                <w:sz w:val="18"/>
              </w:rPr>
              <w:t>Usability</w:t>
            </w:r>
          </w:p>
        </w:tc>
        <w:tc>
          <w:tcPr>
            <w:tcW w:type="dxa" w:w="4889"/>
          </w:tcPr>
          <w:p>
            <w:r>
              <w:rPr>
                <w:sz w:val="18"/>
              </w:rPr>
              <w:t>Observed user task completion and error comprehension</w:t>
            </w:r>
          </w:p>
        </w:tc>
      </w:tr>
      <w:tr>
        <w:tc>
          <w:tcPr>
            <w:tcW w:type="dxa" w:w="4889"/>
          </w:tcPr>
          <w:p>
            <w:r>
              <w:rPr>
                <w:sz w:val="18"/>
              </w:rPr>
              <w:t>Maintainability</w:t>
            </w:r>
          </w:p>
        </w:tc>
        <w:tc>
          <w:tcPr>
            <w:tcW w:type="dxa" w:w="4889"/>
          </w:tcPr>
          <w:p>
            <w:r>
              <w:rPr>
                <w:sz w:val="18"/>
              </w:rPr>
              <w:t>Code review, modularity and change lead time</w:t>
            </w:r>
          </w:p>
        </w:tc>
      </w:tr>
      <w:tr>
        <w:tc>
          <w:tcPr>
            <w:tcW w:type="dxa" w:w="4889"/>
          </w:tcPr>
          <w:p>
            <w:r>
              <w:rPr>
                <w:sz w:val="18"/>
              </w:rPr>
              <w:t>Compatibility</w:t>
            </w:r>
          </w:p>
        </w:tc>
        <w:tc>
          <w:tcPr>
            <w:tcW w:type="dxa" w:w="4889"/>
          </w:tcPr>
          <w:p>
            <w:r>
              <w:rPr>
                <w:sz w:val="18"/>
              </w:rPr>
              <w:t>Supported device/platform and integration tests</w:t>
            </w:r>
          </w:p>
        </w:tc>
      </w:tr>
    </w:tbl>
    <w:p>
      <w:r>
        <w:br w:type="page"/>
      </w:r>
    </w:p>
    <w:p>
      <w:pPr>
        <w:pStyle w:val="Heading1"/>
      </w:pPr>
      <w:r>
        <w:t>14. Testing Plan, Cases and Traceability</w:t>
      </w:r>
    </w:p>
    <w:p>
      <w:r>
        <w:t>Payment tests should include successful transfers and uncertain, adverse and recovery paths. Testing is necessary but cannot prove the total absence of defects. All sample test outcomes below are expected results, not observed execution evidence.</w:t>
      </w:r>
    </w:p>
    <w:p>
      <w:pPr>
        <w:pStyle w:val="Heading2"/>
      </w:pPr>
      <w:r>
        <w:t>White-box and black-box testing</w:t>
      </w:r>
    </w:p>
    <w:p>
      <w:r>
        <w:t>White-box techniques exercise conditions, branches and status transitions in PaymentService. Black-box techniques check input validation, recipient confirmation, declined transactions, limits and customer status without depending on source implementation.</w:t>
      </w:r>
    </w:p>
    <w:p>
      <w:pPr>
        <w:pStyle w:val="Heading2"/>
      </w:pPr>
      <w:r>
        <w:t>Testing levels</w:t>
      </w:r>
    </w:p>
    <w:p>
      <w:r>
        <w:t>Unit tests isolate validators and state machine. Integration tests verify adapters and repository operations. System tests exercise the entire app in a safe environment. Validation/acceptance testing checks whether customers and stakeholders receive the correct behaviours. Regression tests guard previously fixed incidents.</w:t>
      </w:r>
    </w:p>
    <w:p>
      <w:pPr>
        <w:pStyle w:val="Heading2"/>
      </w:pPr>
      <w:r>
        <w:t>Other important test categories</w:t>
      </w:r>
    </w:p>
    <w:p>
      <w:r>
        <w:t>Alpha testing occurs within an internal controlled group; beta/pilot evaluation is limited to authorised external participants under applicable controls. Performance tests model load, latency and service degradation. Security testing includes dependency, application and penetration testing. Accessibility and localisation tests check comprehensible error messages.</w:t>
      </w:r>
    </w:p>
    <w:p>
      <w:pPr>
        <w:pStyle w:val="Heading2"/>
      </w:pPr>
      <w:r>
        <w:t>Automation and CI-based testing</w:t>
      </w:r>
    </w:p>
    <w:p>
      <w:r>
        <w:t>On every pull request run unit, static and API contract tests; nightly or pre-release jobs run broader end-to-end, security and load suites. Testing tools may include pytest/JUnit, Postman/Newman, Playwright/Appium, OWASP ZAP and JMeter, selected according to the actual stack.</w:t>
      </w:r>
    </w:p>
    <w:tbl>
      <w:tblPr>
        <w:tblStyle w:val="LightShading-Accent1"/>
        <w:tblW w:type="auto" w:w="0"/>
        <w:jc w:val="center"/>
        <w:tblLook w:firstColumn="1" w:firstRow="1" w:lastColumn="0" w:lastRow="0" w:noHBand="0" w:noVBand="1" w:val="04A0"/>
      </w:tblPr>
      <w:tblGrid>
        <w:gridCol w:w="3259"/>
        <w:gridCol w:w="3259"/>
        <w:gridCol w:w="3259"/>
      </w:tblGrid>
      <w:tr>
        <w:tc>
          <w:tcPr>
            <w:tcW w:type="dxa" w:w="3259"/>
          </w:tcPr>
          <w:p>
            <w:r>
              <w:rPr>
                <w:sz w:val="18"/>
              </w:rPr>
              <w:t>Test ID</w:t>
            </w:r>
          </w:p>
        </w:tc>
        <w:tc>
          <w:tcPr>
            <w:tcW w:type="dxa" w:w="3259"/>
          </w:tcPr>
          <w:p>
            <w:r>
              <w:rPr>
                <w:sz w:val="18"/>
              </w:rPr>
              <w:t>Input / condition</w:t>
            </w:r>
          </w:p>
        </w:tc>
        <w:tc>
          <w:tcPr>
            <w:tcW w:type="dxa" w:w="3259"/>
          </w:tcPr>
          <w:p>
            <w:r>
              <w:rPr>
                <w:sz w:val="18"/>
              </w:rPr>
              <w:t>Expected result</w:t>
            </w:r>
          </w:p>
        </w:tc>
      </w:tr>
      <w:tr>
        <w:tc>
          <w:tcPr>
            <w:tcW w:type="dxa" w:w="3259"/>
          </w:tcPr>
          <w:p>
            <w:r>
              <w:rPr>
                <w:sz w:val="18"/>
              </w:rPr>
              <w:t>TC-01</w:t>
            </w:r>
          </w:p>
        </w:tc>
        <w:tc>
          <w:tcPr>
            <w:tcW w:type="dxa" w:w="3259"/>
          </w:tcPr>
          <w:p>
            <w:r>
              <w:rPr>
                <w:sz w:val="18"/>
              </w:rPr>
              <w:t>Valid payee, valid authorisation</w:t>
            </w:r>
          </w:p>
        </w:tc>
        <w:tc>
          <w:tcPr>
            <w:tcW w:type="dxa" w:w="3259"/>
          </w:tcPr>
          <w:p>
            <w:r>
              <w:rPr>
                <w:sz w:val="18"/>
              </w:rPr>
              <w:t>Recorded authoritative success and reference</w:t>
            </w:r>
          </w:p>
        </w:tc>
      </w:tr>
      <w:tr>
        <w:tc>
          <w:tcPr>
            <w:tcW w:type="dxa" w:w="3259"/>
          </w:tcPr>
          <w:p>
            <w:r>
              <w:rPr>
                <w:sz w:val="18"/>
              </w:rPr>
              <w:t>TC-02</w:t>
            </w:r>
          </w:p>
        </w:tc>
        <w:tc>
          <w:tcPr>
            <w:tcW w:type="dxa" w:w="3259"/>
          </w:tcPr>
          <w:p>
            <w:r>
              <w:rPr>
                <w:sz w:val="18"/>
              </w:rPr>
              <w:t>Invalid payee format</w:t>
            </w:r>
          </w:p>
        </w:tc>
        <w:tc>
          <w:tcPr>
            <w:tcW w:type="dxa" w:w="3259"/>
          </w:tcPr>
          <w:p>
            <w:r>
              <w:rPr>
                <w:sz w:val="18"/>
              </w:rPr>
              <w:t>Rejected before submission</w:t>
            </w:r>
          </w:p>
        </w:tc>
      </w:tr>
      <w:tr>
        <w:tc>
          <w:tcPr>
            <w:tcW w:type="dxa" w:w="3259"/>
          </w:tcPr>
          <w:p>
            <w:r>
              <w:rPr>
                <w:sz w:val="18"/>
              </w:rPr>
              <w:t>TC-03</w:t>
            </w:r>
          </w:p>
        </w:tc>
        <w:tc>
          <w:tcPr>
            <w:tcW w:type="dxa" w:w="3259"/>
          </w:tcPr>
          <w:p>
            <w:r>
              <w:rPr>
                <w:sz w:val="18"/>
              </w:rPr>
              <w:t>Connectivity lost post-submit</w:t>
            </w:r>
          </w:p>
        </w:tc>
        <w:tc>
          <w:tcPr>
            <w:tcW w:type="dxa" w:w="3259"/>
          </w:tcPr>
          <w:p>
            <w:r>
              <w:rPr>
                <w:sz w:val="18"/>
              </w:rPr>
              <w:t>Pending/unknown displayed; no false failure</w:t>
            </w:r>
          </w:p>
        </w:tc>
      </w:tr>
      <w:tr>
        <w:tc>
          <w:tcPr>
            <w:tcW w:type="dxa" w:w="3259"/>
          </w:tcPr>
          <w:p>
            <w:r>
              <w:rPr>
                <w:sz w:val="18"/>
              </w:rPr>
              <w:t>TC-04</w:t>
            </w:r>
          </w:p>
        </w:tc>
        <w:tc>
          <w:tcPr>
            <w:tcW w:type="dxa" w:w="3259"/>
          </w:tcPr>
          <w:p>
            <w:r>
              <w:rPr>
                <w:sz w:val="18"/>
              </w:rPr>
              <w:t>Repeated confirmation tap</w:t>
            </w:r>
          </w:p>
        </w:tc>
        <w:tc>
          <w:tcPr>
            <w:tcW w:type="dxa" w:w="3259"/>
          </w:tcPr>
          <w:p>
            <w:r>
              <w:rPr>
                <w:sz w:val="18"/>
              </w:rPr>
              <w:t>No uncontrolled duplicate submission</w:t>
            </w:r>
          </w:p>
        </w:tc>
      </w:tr>
      <w:tr>
        <w:tc>
          <w:tcPr>
            <w:tcW w:type="dxa" w:w="3259"/>
          </w:tcPr>
          <w:p>
            <w:r>
              <w:rPr>
                <w:sz w:val="18"/>
              </w:rPr>
              <w:t>TC-05</w:t>
            </w:r>
          </w:p>
        </w:tc>
        <w:tc>
          <w:tcPr>
            <w:tcW w:type="dxa" w:w="3259"/>
          </w:tcPr>
          <w:p>
            <w:r>
              <w:rPr>
                <w:sz w:val="18"/>
              </w:rPr>
              <w:t>Partner service unavailable</w:t>
            </w:r>
          </w:p>
        </w:tc>
        <w:tc>
          <w:tcPr>
            <w:tcW w:type="dxa" w:w="3259"/>
          </w:tcPr>
          <w:p>
            <w:r>
              <w:rPr>
                <w:sz w:val="18"/>
              </w:rPr>
              <w:t>Bounded retries and safe status resolution</w:t>
            </w:r>
          </w:p>
        </w:tc>
      </w:tr>
      <w:tr>
        <w:tc>
          <w:tcPr>
            <w:tcW w:type="dxa" w:w="3259"/>
          </w:tcPr>
          <w:p>
            <w:r>
              <w:rPr>
                <w:sz w:val="18"/>
              </w:rPr>
              <w:t>TC-06</w:t>
            </w:r>
          </w:p>
        </w:tc>
        <w:tc>
          <w:tcPr>
            <w:tcW w:type="dxa" w:w="3259"/>
          </w:tcPr>
          <w:p>
            <w:r>
              <w:rPr>
                <w:sz w:val="18"/>
              </w:rPr>
              <w:t>Unauthorised history request</w:t>
            </w:r>
          </w:p>
        </w:tc>
        <w:tc>
          <w:tcPr>
            <w:tcW w:type="dxa" w:w="3259"/>
          </w:tcPr>
          <w:p>
            <w:r>
              <w:rPr>
                <w:sz w:val="18"/>
              </w:rPr>
              <w:t>Access denied and event logged</w:t>
            </w:r>
          </w:p>
        </w:tc>
      </w:tr>
      <w:tr>
        <w:tc>
          <w:tcPr>
            <w:tcW w:type="dxa" w:w="3259"/>
          </w:tcPr>
          <w:p>
            <w:r>
              <w:rPr>
                <w:sz w:val="18"/>
              </w:rPr>
              <w:t>TC-07</w:t>
            </w:r>
          </w:p>
        </w:tc>
        <w:tc>
          <w:tcPr>
            <w:tcW w:type="dxa" w:w="3259"/>
          </w:tcPr>
          <w:p>
            <w:r>
              <w:rPr>
                <w:sz w:val="18"/>
              </w:rPr>
              <w:t>Known past defect reintroduced</w:t>
            </w:r>
          </w:p>
        </w:tc>
        <w:tc>
          <w:tcPr>
            <w:tcW w:type="dxa" w:w="3259"/>
          </w:tcPr>
          <w:p>
            <w:r>
              <w:rPr>
                <w:sz w:val="18"/>
              </w:rPr>
              <w:t>Regression suite blocks release</w:t>
            </w:r>
          </w:p>
        </w:tc>
      </w:tr>
    </w:tbl>
    <w:p>
      <w:r>
        <w:t>Traceability: FR-02 → TC-02; FR-04 → TC-03/04/05; FR-05 → TC-06; NFR-02 → log-safety and security checks. Each test should have a recorded setup, expected result, actual result, build identifier and defect link.</w:t>
      </w:r>
    </w:p>
    <w:p>
      <w:r>
        <w:br w:type="page"/>
      </w:r>
    </w:p>
    <w:p>
      <w:pPr>
        <w:pStyle w:val="Heading1"/>
      </w:pPr>
      <w:r>
        <w:t>15. Deployment, Operations and Maintenance</w:t>
      </w:r>
    </w:p>
    <w:p>
      <w:r>
        <w:t>Deployment is a controlled transition from verified software to an operating service. In financially sensitive systems, readiness includes people, processes, evidence and recovery plans—not simply pushing a new application binary.</w:t>
      </w:r>
    </w:p>
    <w:p>
      <w:pPr>
        <w:pStyle w:val="Heading2"/>
      </w:pPr>
      <w:r>
        <w:t>Proposed deployment workflow</w:t>
      </w:r>
    </w:p>
    <w:p>
      <w:r>
        <w:t>Create a signed, immutable release artefact; perform final configuration and dependency checks; approve the production change; release to a limited cohort where permitted; monitor error rates, status-unknown counts, partner latency and customer complaints; expand only if guardrails remain acceptable.</w:t>
      </w:r>
    </w:p>
    <w:p>
      <w:pPr>
        <w:pStyle w:val="Heading2"/>
      </w:pPr>
      <w:r>
        <w:t>Observability and incident response</w:t>
      </w:r>
    </w:p>
    <w:p>
      <w:r>
        <w:t>Dashboards track request latency, transaction outcome distributions, status-query backlogs, integration errors and support-case trends. Alerting must avoid exposing PINs or secrets. An incident runbook identifies owner, impact triage, pause/rollback conditions, communication, reconciliation and post-incident review.</w:t>
      </w:r>
    </w:p>
    <w:p>
      <w:pPr>
        <w:pStyle w:val="Heading2"/>
      </w:pPr>
      <w:r>
        <w:t>Corrective maintenance</w:t>
      </w:r>
    </w:p>
    <w:p>
      <w:r>
        <w:t>Fix a bug causing transaction history to omit a valid entry. Add a regression test and preserve evidence of the corrected behaviour.</w:t>
      </w:r>
    </w:p>
    <w:p>
      <w:pPr>
        <w:pStyle w:val="Heading2"/>
      </w:pPr>
      <w:r>
        <w:t>Adaptive maintenance</w:t>
      </w:r>
    </w:p>
    <w:p>
      <w:r>
        <w:t>Adjust supported operating-system versions, accessibility requirements or documented partner/API changes. Update contracts, tests, compatibility matrix and release documentation.</w:t>
      </w:r>
    </w:p>
    <w:p>
      <w:pPr>
        <w:pStyle w:val="Heading2"/>
      </w:pPr>
      <w:r>
        <w:t>Perfective and preventive maintenance</w:t>
      </w:r>
    </w:p>
    <w:p>
      <w:r>
        <w:t>Perfective: simplify status explanations and improve complaint navigation. Preventive: rotate credentials, update dependencies, reduce tight coupling, add monitoring and remove obsolete components. Maintenance changes follow SCM and quality gates, not bypass them.</w:t>
      </w:r>
    </w:p>
    <w:p>
      <w:pPr>
        <w:pStyle w:val="Heading2"/>
      </w:pPr>
      <w:r>
        <w:t>Documentation deliverables</w:t>
      </w:r>
    </w:p>
    <w:p>
      <w:r>
        <w:t>Maintain SRS, architecture decisions, interface contracts, threat model, test plan, deployment and rollback guide, incident runbook, data-retention schedule, support guidance and release notes.</w:t>
      </w:r>
    </w:p>
    <w:p>
      <w:r>
        <w:br w:type="page"/>
      </w:r>
    </w:p>
    <w:p>
      <w:pPr>
        <w:pStyle w:val="Heading1"/>
      </w:pPr>
      <w:r>
        <w:t>16. Findings, Recommendations and Conclusion</w:t>
      </w:r>
    </w:p>
    <w:p>
      <w:r>
        <w:t>This academic case demonstrates that software engineering principles are especially consequential when user-facing workflows depend on distributed financial systems.</w:t>
      </w:r>
    </w:p>
    <w:p>
      <w:pPr>
        <w:pStyle w:val="Heading2"/>
      </w:pPr>
      <w:r>
        <w:t>Principal findings</w:t>
      </w:r>
    </w:p>
    <w:p>
      <w:r>
        <w:t>First, a payment app is part of a multi-actor ecosystem: apparent local errors are not always authoritative financial outcomes. Second, a hybrid iterative SDLC is appropriate when user experience changes often but high-risk payment requirements demand formal controls. Third, requirements traceability makes ambiguous status and duplicate-action scenarios testable. Fourth, architectural separation and strong operational observability support secure troubleshooting and maintenance.</w:t>
      </w:r>
    </w:p>
    <w:p>
      <w:pPr>
        <w:pStyle w:val="Heading2"/>
      </w:pPr>
      <w:r>
        <w:t>Recommendations</w:t>
      </w:r>
    </w:p>
    <w:p>
      <w:r>
        <w:t>Prioritise accurate transaction-state language and reconciliation; model negative and failure cases before implementation; involve security/operations from requirements onwards; use risk-focused reviews for authentication and partner interfaces; build a traceability matrix for every critical requirement; adopt audited CI/CD gates and staged releases; and include accessibility, fraud-awareness and user support within the product definition.</w:t>
      </w:r>
    </w:p>
    <w:p>
      <w:pPr>
        <w:pStyle w:val="Heading2"/>
      </w:pPr>
      <w:r>
        <w:t>Limitations</w:t>
      </w:r>
    </w:p>
    <w:p>
      <w:r>
        <w:t>The report uses a fictional project, an illustrative architecture and textbook estimation formulas. No production NPCI or bank systems were inspected, no direct user research was performed, and no test execution was conducted. It cannot establish compliance or predict delivery cost and performance of a live UPI service.</w:t>
      </w:r>
    </w:p>
    <w:p>
      <w:pPr>
        <w:pStyle w:val="Heading2"/>
      </w:pPr>
      <w:r>
        <w:t>Conclusion</w:t>
      </w:r>
    </w:p>
    <w:p>
      <w:r>
        <w:t>The strongest design is not merely one that can initiate a transaction, but one that preserves trust when a transaction is delayed, disconnected or disputed. SDLC discipline, planning, requirements engineering, modelling, secure architecture, systematic testing and long-term maintenance must operate as one coordinated quality system.</w:t>
      </w:r>
    </w:p>
    <w:p>
      <w:pPr>
        <w:pStyle w:val="Heading2"/>
      </w:pPr>
      <w:r>
        <w:t>Learning outcomes demonstrated</w:t>
      </w:r>
    </w:p>
    <w:p>
      <w:pPr>
        <w:pStyle w:val="ListBullet"/>
      </w:pPr>
      <w:r>
        <w:t>Unit 1: software lifecycle, traditional and modern process models, Agile/DevOps and SCM.</w:t>
      </w:r>
    </w:p>
    <w:p>
      <w:pPr>
        <w:pStyle w:val="ListBullet"/>
      </w:pPr>
      <w:r>
        <w:t>Unit 2: feasibility, work breakdown, scheduling, COCOMO, risk, SRS, DFD/ERD and UML.</w:t>
      </w:r>
    </w:p>
    <w:p>
      <w:pPr>
        <w:pStyle w:val="ListBullet"/>
      </w:pPr>
      <w:r>
        <w:t>Unit 3: cohesion/coupling, architecture, quality factors, test design and maintenance.</w:t>
      </w:r>
    </w:p>
    <w:p>
      <w:r>
        <w:br w:type="page"/>
      </w:r>
    </w:p>
    <w:p>
      <w:pPr>
        <w:pStyle w:val="Heading1"/>
      </w:pPr>
      <w:r>
        <w:t>17. References and Appendix</w:t>
      </w:r>
    </w:p>
    <w:p>
      <w:pPr>
        <w:pStyle w:val="Heading2"/>
      </w:pPr>
      <w:r>
        <w:t>Primary references</w:t>
      </w:r>
    </w:p>
    <w:p>
      <w:r>
        <w:t>[1] National Payments Corporation of India (NPCI). UPI Product Booklet. https://www.npci.org.in/PDF/npci/upi/Product-Booklet.pdf</w:t>
      </w:r>
    </w:p>
    <w:p>
      <w:r>
        <w:t>[2] Reserve Bank of India (RBI). Master Direction on Digital Payment Security Controls (18 February 2021). https://systemhealth.rbi.org.in/Scripts/BS_ViewMasDirections.aspx_id%3D12032%283%29.html</w:t>
      </w:r>
    </w:p>
    <w:p>
      <w:r>
        <w:t>[3] Reserve Bank of India (RBI). Master Directions on Cyber Resilience and Digital Payment Security Controls for non-bank Payment System Operators (30 July 2024). https://systemhealth.rbi.org.in/Scripts/BS_ViewMasDirections.aspx_id%3D12715%281%29.html</w:t>
      </w:r>
    </w:p>
    <w:p>
      <w:r>
        <w:t>[4] National Payments Corporation of India (NPCI). UPI Circular OC-226/2025-26, Additional Authentication Methods (7 October 2025). https://www.npci.org.in/uploads/UPI_OC_226_Introduction_of_Additional_Authentication_methods_in_UPI_ec075a3a14.pdf</w:t>
      </w:r>
    </w:p>
    <w:p>
      <w:r>
        <w:t>[5] Ian Sommerville. Software Engineering, 10th edition. Pearson, 2016.</w:t>
      </w:r>
    </w:p>
    <w:p>
      <w:r>
        <w:t>[6] Roger S. Pressman and Bruce R. Maxim. Software Engineering: A Practitioner’s Approach, 9th edition. McGraw-Hill, 2019.</w:t>
      </w:r>
    </w:p>
    <w:p>
      <w:r>
        <w:t>[7] ISO/IEC. ISO/IEC 25010, Systems and software Quality Requirements and Evaluation (SQuaRE), product quality model; consult the applicable edition.</w:t>
      </w:r>
    </w:p>
    <w:p>
      <w:pPr>
        <w:pStyle w:val="Heading2"/>
      </w:pPr>
      <w:r>
        <w:t>Appendix A: SRS checklist</w:t>
      </w:r>
    </w:p>
    <w:p>
      <w:pPr>
        <w:pStyle w:val="ListBullet"/>
      </w:pPr>
      <w:r>
        <w:t>Does each requirement have an ID, source, rationale and priority?</w:t>
      </w:r>
    </w:p>
    <w:p>
      <w:pPr>
        <w:pStyle w:val="ListBullet"/>
      </w:pPr>
      <w:r>
        <w:t>Are user authentication and transaction-state invariants explicit?</w:t>
      </w:r>
    </w:p>
    <w:p>
      <w:pPr>
        <w:pStyle w:val="ListBullet"/>
      </w:pPr>
      <w:r>
        <w:t>Are failure, timeout, retry and recovery flows specified?</w:t>
      </w:r>
    </w:p>
    <w:p>
      <w:pPr>
        <w:pStyle w:val="ListBullet"/>
      </w:pPr>
      <w:r>
        <w:t>Can every requirement be verified with a measurable test?</w:t>
      </w:r>
    </w:p>
    <w:p>
      <w:pPr>
        <w:pStyle w:val="ListBullet"/>
      </w:pPr>
      <w:r>
        <w:t>Are retention, privacy and support obligations assigned to owners?</w:t>
      </w:r>
    </w:p>
    <w:p>
      <w:pPr>
        <w:pStyle w:val="Heading2"/>
      </w:pPr>
      <w:r>
        <w:t>Appendix B: Suggested viva questions</w:t>
      </w:r>
    </w:p>
    <w:p>
      <w:pPr>
        <w:pStyle w:val="ListNumber"/>
      </w:pPr>
      <w:r>
        <w:t>Why is a mobile timeout different from confirmed transaction failure?</w:t>
      </w:r>
    </w:p>
    <w:p>
      <w:pPr>
        <w:pStyle w:val="ListNumber"/>
      </w:pPr>
      <w:r>
        <w:t>Which SDLC model is most suitable for safety-critical payment paths, and why?</w:t>
      </w:r>
    </w:p>
    <w:p>
      <w:pPr>
        <w:pStyle w:val="ListNumber"/>
      </w:pPr>
      <w:r>
        <w:t>How do a DFD, ERD and UML sequence diagram answer different design questions?</w:t>
      </w:r>
    </w:p>
    <w:p>
      <w:pPr>
        <w:pStyle w:val="ListNumber"/>
      </w:pPr>
      <w:r>
        <w:t>How would you trace a UPI requirement to a regression test?</w:t>
      </w:r>
    </w:p>
    <w:p>
      <w:pPr>
        <w:pStyle w:val="ListNumber"/>
      </w:pPr>
      <w:r>
        <w:t>Why are COCOMO calculations only approximate in this hypothetical case?</w:t>
      </w:r>
    </w:p>
    <w:p>
      <w:pPr>
        <w:pStyle w:val="Heading2"/>
      </w:pPr>
      <w:r>
        <w:t>Academic integrity declaration</w:t>
      </w:r>
    </w:p>
    <w:p>
      <w:r>
        <w:t>This submission is a constructed academic case study based on publicly available information and standard software-engineering methods. Its proposed application, project figures, internal models and expected test cases are illustrative and are not attributed to any real bank or customer.</w:t>
      </w:r>
    </w:p>
    <w:sectPr w:rsidR="00FC693F" w:rsidRPr="0006063C" w:rsidSect="00034616">
      <w:headerReference w:type="default" r:id="rId9"/>
      <w:footerReference w:type="default" r:id="rId10"/>
      <w:pgSz w:w="12240" w:h="15840"/>
      <w:pgMar w:top="1109" w:right="1195" w:bottom="979"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Stuti  |  25BCD10288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SOFTWARE ENGINEERING  |  BANKING APPLICATIONS &amp; UPI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ptos Display" w:hAnsi="Aptos Display"/>
      <w:b/>
      <w:bCs/>
      <w:color w:val="1234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44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4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Case Study: Banking Applications and UPI</dc:title>
  <dc:subject/>
  <dc:creator>Stuti</dc:creator>
  <cp:keywords/>
  <dc:description>generated by python-docx</dc:description>
  <cp:lastModifiedBy/>
  <cp:revision>1</cp:revision>
  <dcterms:created xsi:type="dcterms:W3CDTF">2013-12-23T23:15:00Z</dcterms:created>
  <dcterms:modified xsi:type="dcterms:W3CDTF">2013-12-23T23:15:00Z</dcterms:modified>
  <cp:category/>
</cp:coreProperties>
</file>