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(the numbers in the poem refer to line numbers)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Storm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by Hilda Doolittle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crash over the trees,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crack the live branch—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branch is white,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green crushed,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 each leaf is rent like split wood.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burden the trees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with black drops,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swirl and crash—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have broken off a weighted leaf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 in the wind,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 is hurled out,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whirls up and sinks,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green stone.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Lines 1–5 contribute to the development of ideas in the poem by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A. depicting the dramatic way a leaf falls in a storm.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B. mimicking the sound of a raging wind.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C. using colors to evoke the devastation of the storm.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D. describing the effect of a powerful storm on a tree.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What impact do the words “crash,” “crack,” and “crushed” in lines 1–4 have on the meaning of the poem?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E. Their similar sounds unite the first and second stanzas.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F. Their harsh sounds emphasize the fury of the storm.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G. Their rhythmic, repeated beginnings imitate the sound of the rain.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H. They provide a dramatic contrast to the quiet peace that follows the storm.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Read lines 1–2 and 6–8 that begin the two stanzas.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You crash over the trees,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you crack the live branch—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You burden the trees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with black drops,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you swirl and crash—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purpose of the parallel structure of the two stanzas is 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A. contrast the effects at the start of the storm with those at the end of the storm.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B. indicate that the wind mentioned in the first stanza is less important than the rain.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C. emphasize that the second stanza will be a continuation of the first.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D. show that the first stanza was more important than the second.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Read lines 6–7.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 burden the trees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with black drops,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lines help develop the theme of the poem by suggesting that the rain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E. is so heavy it may damage the trees.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F. will harm the trees because it is black from pollution.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G. is necessary for the growth of the trees.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H. will cause widespread flooding.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25068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506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22969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296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