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80"/>
        <w:jc w:val="center"/>
      </w:pPr>
      <w:r>
        <w:rPr>
          <w:rFonts w:ascii="PingFang SC" w:hAnsi="PingFang SC" w:eastAsia="PingFang SC"/>
          <w:b/>
          <w:color w:val="26734D"/>
          <w:sz w:val="22"/>
        </w:rPr>
        <w:t>竞赛大模型服务保障方案</w:t>
      </w:r>
    </w:p>
    <w:p>
      <w:pPr>
        <w:pStyle w:val="Title"/>
        <w:keepNext/>
        <w:keepLines/>
        <w:widowControl/>
      </w:pPr>
      <w:r>
        <w:t>竞赛大模型统一接入与现场保障方案</w:t>
      </w:r>
    </w:p>
    <w:p>
      <w:pPr>
        <w:pStyle w:val="Subtitle"/>
        <w:pBdr>
          <w:bottom w:val="single" w:sz="8" w:space="8" w:color="C9D3D6"/>
        </w:pBdr>
      </w:pPr>
      <w:r>
        <w:rPr>
          <w:rFonts w:ascii="PingFang SC" w:hAnsi="PingFang SC" w:eastAsia="PingFang SC"/>
          <w:color w:val="5F6B72"/>
          <w:sz w:val="24"/>
        </w:rPr>
        <w:t>面向约 20 名参赛选手，通过统一网关接入云端大模型，避免在比赛现场部署高成本的大模型算力服务器，并为选手提供简单、统一的调用方式。赛事仅开放有限的指定国产模型，使所有选手在相同的模型条件下参赛。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2300"/>
        <w:gridCol w:w="7060"/>
      </w:tblGrid>
      <w:tr>
        <w:trPr>
          <w:cantSplit/>
          <w:trHeight w:hRule="atLeast"/>
        </w:trPr>
        <w:tc>
          <w:tcPr>
            <w:tcW w:type="dxa" w:w="2300"/>
            <w:vAlign w:val="center"/>
            <w:shd w:fill="F4F6F9"/>
            <w:tcBorders>
              <w:top w:val="single" w:sz="5" w:color="C9D3D6"/>
              <w:left w:val="single" w:sz="5" w:color="C9D3D6"/>
              <w:bottom w:val="single" w:sz="5" w:color="C9D3D6"/>
              <w:right w:val="single" w:sz="5" w:color="C9D3D6"/>
              <w:insideH w:val="single" w:sz="5" w:color="C9D3D6"/>
              <w:insideV w:val="single" w:sz="5" w:color="C9D3D6"/>
            </w:tcBorders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建设对象</w:t>
            </w:r>
          </w:p>
        </w:tc>
        <w:tc>
          <w:tcPr>
            <w:tcW w:type="dxa" w:w="7060"/>
            <w:vAlign w:val="center"/>
            <w:tcBorders>
              <w:top w:val="single" w:sz="5" w:color="C9D3D6"/>
              <w:left w:val="single" w:sz="5" w:color="C9D3D6"/>
              <w:bottom w:val="single" w:sz="5" w:color="C9D3D6"/>
              <w:right w:val="single" w:sz="5" w:color="C9D3D6"/>
              <w:insideH w:val="single" w:sz="5" w:color="C9D3D6"/>
              <w:insideV w:val="single" w:sz="5" w:color="C9D3D6"/>
            </w:tcBorders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color w:val="202124"/>
                <w:sz w:val="20"/>
              </w:rPr>
              <w:t>约 20 名参赛选手</w:t>
            </w:r>
          </w:p>
        </w:tc>
      </w:tr>
      <w:tr>
        <w:trPr>
          <w:cantSplit/>
          <w:trHeight w:hRule="atLeast"/>
        </w:trPr>
        <w:tc>
          <w:tcPr>
            <w:tcW w:type="dxa" w:w="2300"/>
            <w:vAlign w:val="center"/>
            <w:shd w:fill="F4F6F9"/>
            <w:tcBorders>
              <w:top w:val="single" w:sz="5" w:color="C9D3D6"/>
              <w:left w:val="single" w:sz="5" w:color="C9D3D6"/>
              <w:bottom w:val="single" w:sz="5" w:color="C9D3D6"/>
              <w:right w:val="single" w:sz="5" w:color="C9D3D6"/>
              <w:insideH w:val="single" w:sz="5" w:color="C9D3D6"/>
              <w:insideV w:val="single" w:sz="5" w:color="C9D3D6"/>
            </w:tcBorders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建设目标</w:t>
            </w:r>
          </w:p>
        </w:tc>
        <w:tc>
          <w:tcPr>
            <w:tcW w:type="dxa" w:w="7060"/>
            <w:vAlign w:val="center"/>
            <w:tcBorders>
              <w:top w:val="single" w:sz="5" w:color="C9D3D6"/>
              <w:left w:val="single" w:sz="5" w:color="C9D3D6"/>
              <w:bottom w:val="single" w:sz="5" w:color="C9D3D6"/>
              <w:right w:val="single" w:sz="5" w:color="C9D3D6"/>
              <w:insideH w:val="single" w:sz="5" w:color="C9D3D6"/>
              <w:insideV w:val="single" w:sz="5" w:color="C9D3D6"/>
            </w:tcBorders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color w:val="202124"/>
                <w:sz w:val="20"/>
              </w:rPr>
              <w:t>方便调用、统一条件</w:t>
            </w:r>
          </w:p>
        </w:tc>
      </w:tr>
      <w:tr>
        <w:trPr>
          <w:cantSplit/>
          <w:trHeight w:hRule="atLeast"/>
        </w:trPr>
        <w:tc>
          <w:tcPr>
            <w:tcW w:type="dxa" w:w="2300"/>
            <w:vAlign w:val="center"/>
            <w:shd w:fill="F4F6F9"/>
            <w:tcBorders>
              <w:top w:val="single" w:sz="5" w:color="C9D3D6"/>
              <w:left w:val="single" w:sz="5" w:color="C9D3D6"/>
              <w:bottom w:val="single" w:sz="5" w:color="C9D3D6"/>
              <w:right w:val="single" w:sz="5" w:color="C9D3D6"/>
              <w:insideH w:val="single" w:sz="5" w:color="C9D3D6"/>
              <w:insideV w:val="single" w:sz="5" w:color="C9D3D6"/>
            </w:tcBorders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部署方式</w:t>
            </w:r>
          </w:p>
        </w:tc>
        <w:tc>
          <w:tcPr>
            <w:tcW w:type="dxa" w:w="7060"/>
            <w:vAlign w:val="center"/>
            <w:tcBorders>
              <w:top w:val="single" w:sz="5" w:color="C9D3D6"/>
              <w:left w:val="single" w:sz="5" w:color="C9D3D6"/>
              <w:bottom w:val="single" w:sz="5" w:color="C9D3D6"/>
              <w:right w:val="single" w:sz="5" w:color="C9D3D6"/>
              <w:insideH w:val="single" w:sz="5" w:color="C9D3D6"/>
              <w:insideV w:val="single" w:sz="5" w:color="C9D3D6"/>
            </w:tcBorders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color w:val="202124"/>
                <w:sz w:val="20"/>
              </w:rPr>
              <w:t>赛前公网服务、赛中本地中继</w:t>
            </w:r>
          </w:p>
        </w:tc>
      </w:tr>
      <w:tr>
        <w:trPr>
          <w:cantSplit/>
          <w:trHeight w:hRule="atLeast"/>
        </w:trPr>
        <w:tc>
          <w:tcPr>
            <w:tcW w:type="dxa" w:w="2300"/>
            <w:vAlign w:val="center"/>
            <w:shd w:fill="F4F6F9"/>
            <w:tcBorders>
              <w:top w:val="single" w:sz="5" w:color="C9D3D6"/>
              <w:left w:val="single" w:sz="5" w:color="C9D3D6"/>
              <w:bottom w:val="single" w:sz="5" w:color="C9D3D6"/>
              <w:right w:val="single" w:sz="5" w:color="C9D3D6"/>
              <w:insideH w:val="single" w:sz="5" w:color="C9D3D6"/>
              <w:insideV w:val="single" w:sz="5" w:color="C9D3D6"/>
            </w:tcBorders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保障范围</w:t>
            </w:r>
          </w:p>
        </w:tc>
        <w:tc>
          <w:tcPr>
            <w:tcW w:type="dxa" w:w="7060"/>
            <w:vAlign w:val="center"/>
            <w:tcBorders>
              <w:top w:val="single" w:sz="5" w:color="C9D3D6"/>
              <w:left w:val="single" w:sz="5" w:color="C9D3D6"/>
              <w:bottom w:val="single" w:sz="5" w:color="C9D3D6"/>
              <w:right w:val="single" w:sz="5" w:color="C9D3D6"/>
              <w:insideH w:val="single" w:sz="5" w:color="C9D3D6"/>
              <w:insideV w:val="single" w:sz="5" w:color="C9D3D6"/>
            </w:tcBorders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color w:val="202124"/>
                <w:sz w:val="20"/>
              </w:rPr>
              <w:t>接口调试、现场演练、赛事保障</w:t>
            </w:r>
          </w:p>
        </w:tc>
      </w:tr>
      <w:tr>
        <w:trPr>
          <w:cantSplit/>
          <w:trHeight w:hRule="atLeast"/>
        </w:trPr>
        <w:tc>
          <w:tcPr>
            <w:tcW w:type="dxa" w:w="2300"/>
            <w:vAlign w:val="center"/>
            <w:shd w:fill="F4F6F9"/>
            <w:tcBorders>
              <w:top w:val="single" w:sz="5" w:color="C9D3D6"/>
              <w:left w:val="single" w:sz="5" w:color="C9D3D6"/>
              <w:bottom w:val="single" w:sz="5" w:color="C9D3D6"/>
              <w:right w:val="single" w:sz="5" w:color="C9D3D6"/>
              <w:insideH w:val="single" w:sz="5" w:color="C9D3D6"/>
              <w:insideV w:val="single" w:sz="5" w:color="C9D3D6"/>
            </w:tcBorders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方案日期</w:t>
            </w:r>
          </w:p>
        </w:tc>
        <w:tc>
          <w:tcPr>
            <w:tcW w:type="dxa" w:w="7060"/>
            <w:vAlign w:val="center"/>
            <w:tcBorders>
              <w:top w:val="single" w:sz="5" w:color="C9D3D6"/>
              <w:left w:val="single" w:sz="5" w:color="C9D3D6"/>
              <w:bottom w:val="single" w:sz="5" w:color="C9D3D6"/>
              <w:right w:val="single" w:sz="5" w:color="C9D3D6"/>
              <w:insideH w:val="single" w:sz="5" w:color="C9D3D6"/>
              <w:insideV w:val="single" w:sz="5" w:color="C9D3D6"/>
            </w:tcBorders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color w:val="202124"/>
                <w:sz w:val="20"/>
              </w:rPr>
              <w:t>2026 年 8 月 12 日</w:t>
            </w:r>
          </w:p>
        </w:tc>
      </w:tr>
    </w:tbl>
    <w:p>
      <w:pPr>
        <w:spacing w:before="320" w:after="0"/>
        <w:jc w:val="center"/>
      </w:pPr>
      <w:r>
        <w:rPr>
          <w:rFonts w:ascii="PingFang SC" w:hAnsi="PingFang SC" w:eastAsia="PingFang SC"/>
          <w:b/>
          <w:color w:val="26734D"/>
          <w:sz w:val="20"/>
        </w:rPr>
        <w:t>统一接口  ·  指定模型  ·  隔离组网  ·  现场保障</w:t>
      </w:r>
    </w:p>
    <w:p>
      <w:r>
        <w:br w:type="page"/>
      </w:r>
    </w:p>
    <w:p>
      <w:pPr>
        <w:pStyle w:val="SectionKicker"/>
      </w:pPr>
      <w:r>
        <w:rPr>
          <w:rFonts w:ascii="PingFang SC" w:hAnsi="PingFang SC" w:eastAsia="PingFang SC"/>
          <w:b/>
          <w:color w:val="26734D"/>
          <w:sz w:val="18"/>
        </w:rPr>
        <w:t>目录</w:t>
      </w:r>
    </w:p>
    <w:p>
      <w:pPr>
        <w:pStyle w:val="Heading1"/>
        <w:keepNext/>
        <w:keepLines/>
        <w:widowControl/>
      </w:pPr>
      <w:r>
        <w:t>文档目录</w:t>
      </w:r>
    </w:p>
    <w:p>
      <w:pPr>
        <w:spacing w:after="280"/>
        <w:widowControl/>
      </w:pPr>
      <w:r>
        <w:rPr>
          <w:rFonts w:ascii="PingFang SC" w:hAnsi="PingFang SC" w:eastAsia="PingFang SC"/>
        </w:rPr>
        <w:t>本 Word 版本按网页方案的正文与附录顺序编排，所有正文、表格和标题均可编辑。</w:t>
      </w:r>
    </w:p>
    <w:p>
      <w:pPr>
        <w:spacing w:before="80" w:after="160"/>
      </w:pPr>
      <w:r>
        <w:rPr>
          <w:rFonts w:ascii="PingFang SC" w:hAnsi="PingFang SC" w:eastAsia="PingFang SC"/>
          <w:b/>
          <w:color w:val="5F6B72"/>
          <w:sz w:val="18"/>
        </w:rPr>
        <w:t>正文</w:t>
      </w:r>
    </w:p>
    <w:p>
      <w:pPr>
        <w:pStyle w:val="TOCEntry"/>
        <w:tabs>
          <w:tab w:pos="792" w:val="left"/>
          <w:tab w:pos="9000" w:val="right" w:leader="dot"/>
        </w:tabs>
      </w:pPr>
      <w:r>
        <w:rPr>
          <w:rFonts w:ascii="PingFang SC" w:hAnsi="PingFang SC" w:eastAsia="PingFang SC"/>
          <w:b/>
          <w:color w:val="26734D"/>
          <w:sz w:val="19"/>
        </w:rPr>
        <w:t>01</w:t>
      </w:r>
      <w:r>
        <w:rPr>
          <w:rFonts w:ascii="PingFang SC" w:hAnsi="PingFang SC" w:eastAsia="PingFang SC"/>
          <w:b/>
          <w:color w:val="202124"/>
          <w:sz w:val="22"/>
        </w:rPr>
        <w:tab/>
        <w:t>项目背景</w:t>
      </w:r>
      <w:r>
        <w:rPr>
          <w:rFonts w:ascii="PingFang SC" w:hAnsi="PingFang SC" w:eastAsia="PingFang SC"/>
          <w:color w:val="5F6B72"/>
          <w:sz w:val="19"/>
        </w:rPr>
        <w:tab/>
        <w:t>3</w:t>
      </w:r>
    </w:p>
    <w:p>
      <w:pPr>
        <w:pStyle w:val="TOCEntry"/>
        <w:tabs>
          <w:tab w:pos="792" w:val="left"/>
          <w:tab w:pos="9000" w:val="right" w:leader="dot"/>
        </w:tabs>
      </w:pPr>
      <w:r>
        <w:rPr>
          <w:rFonts w:ascii="PingFang SC" w:hAnsi="PingFang SC" w:eastAsia="PingFang SC"/>
          <w:b/>
          <w:color w:val="26734D"/>
          <w:sz w:val="19"/>
        </w:rPr>
        <w:t>02</w:t>
      </w:r>
      <w:r>
        <w:rPr>
          <w:rFonts w:ascii="PingFang SC" w:hAnsi="PingFang SC" w:eastAsia="PingFang SC"/>
          <w:b/>
          <w:color w:val="202124"/>
          <w:sz w:val="22"/>
        </w:rPr>
        <w:tab/>
        <w:t>赛前接口联调</w:t>
      </w:r>
      <w:r>
        <w:rPr>
          <w:rFonts w:ascii="PingFang SC" w:hAnsi="PingFang SC" w:eastAsia="PingFang SC"/>
          <w:color w:val="5F6B72"/>
          <w:sz w:val="19"/>
        </w:rPr>
        <w:tab/>
        <w:t>4</w:t>
      </w:r>
    </w:p>
    <w:p>
      <w:pPr>
        <w:pStyle w:val="TOCEntry"/>
        <w:tabs>
          <w:tab w:pos="792" w:val="left"/>
          <w:tab w:pos="9000" w:val="right" w:leader="dot"/>
        </w:tabs>
      </w:pPr>
      <w:r>
        <w:rPr>
          <w:rFonts w:ascii="PingFang SC" w:hAnsi="PingFang SC" w:eastAsia="PingFang SC"/>
          <w:b/>
          <w:color w:val="26734D"/>
          <w:sz w:val="19"/>
        </w:rPr>
        <w:t>03</w:t>
      </w:r>
      <w:r>
        <w:rPr>
          <w:rFonts w:ascii="PingFang SC" w:hAnsi="PingFang SC" w:eastAsia="PingFang SC"/>
          <w:b/>
          <w:color w:val="202124"/>
          <w:sz w:val="22"/>
        </w:rPr>
        <w:tab/>
        <w:t>赛前设备部署与联调</w:t>
      </w:r>
      <w:r>
        <w:rPr>
          <w:rFonts w:ascii="PingFang SC" w:hAnsi="PingFang SC" w:eastAsia="PingFang SC"/>
          <w:color w:val="5F6B72"/>
          <w:sz w:val="19"/>
        </w:rPr>
        <w:tab/>
        <w:t>5</w:t>
      </w:r>
    </w:p>
    <w:p>
      <w:pPr>
        <w:pStyle w:val="TOCEntry"/>
        <w:tabs>
          <w:tab w:pos="792" w:val="left"/>
          <w:tab w:pos="9000" w:val="right" w:leader="dot"/>
        </w:tabs>
      </w:pPr>
      <w:r>
        <w:rPr>
          <w:rFonts w:ascii="PingFang SC" w:hAnsi="PingFang SC" w:eastAsia="PingFang SC"/>
          <w:b/>
          <w:color w:val="26734D"/>
          <w:sz w:val="19"/>
        </w:rPr>
        <w:t>04</w:t>
      </w:r>
      <w:r>
        <w:rPr>
          <w:rFonts w:ascii="PingFang SC" w:hAnsi="PingFang SC" w:eastAsia="PingFang SC"/>
          <w:b/>
          <w:color w:val="202124"/>
          <w:sz w:val="22"/>
        </w:rPr>
        <w:tab/>
        <w:t>赛事现场运行保障</w:t>
      </w:r>
      <w:r>
        <w:rPr>
          <w:rFonts w:ascii="PingFang SC" w:hAnsi="PingFang SC" w:eastAsia="PingFang SC"/>
          <w:color w:val="5F6B72"/>
          <w:sz w:val="19"/>
        </w:rPr>
        <w:tab/>
        <w:t>6</w:t>
      </w:r>
    </w:p>
    <w:p>
      <w:pPr>
        <w:spacing w:before="240" w:after="160"/>
      </w:pPr>
      <w:r>
        <w:rPr>
          <w:rFonts w:ascii="PingFang SC" w:hAnsi="PingFang SC" w:eastAsia="PingFang SC"/>
          <w:b/>
          <w:color w:val="5F6B72"/>
          <w:sz w:val="18"/>
        </w:rPr>
        <w:t>附录</w:t>
      </w:r>
    </w:p>
    <w:p>
      <w:pPr>
        <w:pStyle w:val="TOCEntry"/>
        <w:tabs>
          <w:tab w:pos="792" w:val="left"/>
          <w:tab w:pos="9000" w:val="right" w:leader="dot"/>
        </w:tabs>
      </w:pPr>
      <w:r>
        <w:rPr>
          <w:rFonts w:ascii="PingFang SC" w:hAnsi="PingFang SC" w:eastAsia="PingFang SC"/>
          <w:b/>
          <w:color w:val="26734D"/>
          <w:sz w:val="19"/>
        </w:rPr>
        <w:t>A</w:t>
      </w:r>
      <w:r>
        <w:rPr>
          <w:rFonts w:ascii="PingFang SC" w:hAnsi="PingFang SC" w:eastAsia="PingFang SC"/>
          <w:b/>
          <w:color w:val="202124"/>
          <w:sz w:val="22"/>
        </w:rPr>
        <w:tab/>
        <w:t>现场设备与费用承担</w:t>
      </w:r>
      <w:r>
        <w:rPr>
          <w:rFonts w:ascii="PingFang SC" w:hAnsi="PingFang SC" w:eastAsia="PingFang SC"/>
          <w:color w:val="5F6B72"/>
          <w:sz w:val="19"/>
        </w:rPr>
        <w:tab/>
        <w:t>7</w:t>
      </w:r>
    </w:p>
    <w:p>
      <w:pPr>
        <w:pStyle w:val="TOCEntry"/>
        <w:tabs>
          <w:tab w:pos="792" w:val="left"/>
          <w:tab w:pos="9000" w:val="right" w:leader="dot"/>
        </w:tabs>
      </w:pPr>
      <w:r>
        <w:rPr>
          <w:rFonts w:ascii="PingFang SC" w:hAnsi="PingFang SC" w:eastAsia="PingFang SC"/>
          <w:b/>
          <w:color w:val="26734D"/>
          <w:sz w:val="19"/>
        </w:rPr>
        <w:t>B</w:t>
      </w:r>
      <w:r>
        <w:rPr>
          <w:rFonts w:ascii="PingFang SC" w:hAnsi="PingFang SC" w:eastAsia="PingFang SC"/>
          <w:b/>
          <w:color w:val="202124"/>
          <w:sz w:val="22"/>
        </w:rPr>
        <w:tab/>
        <w:t>知识库与大语言模型的关系</w:t>
      </w:r>
      <w:r>
        <w:rPr>
          <w:rFonts w:ascii="PingFang SC" w:hAnsi="PingFang SC" w:eastAsia="PingFang SC"/>
          <w:color w:val="5F6B72"/>
          <w:sz w:val="19"/>
        </w:rPr>
        <w:tab/>
        <w:t>9</w:t>
      </w:r>
    </w:p>
    <w:p>
      <w:pPr>
        <w:pStyle w:val="TOCEntry"/>
        <w:tabs>
          <w:tab w:pos="792" w:val="left"/>
          <w:tab w:pos="9000" w:val="right" w:leader="dot"/>
        </w:tabs>
      </w:pPr>
      <w:r>
        <w:rPr>
          <w:rFonts w:ascii="PingFang SC" w:hAnsi="PingFang SC" w:eastAsia="PingFang SC"/>
          <w:b/>
          <w:color w:val="26734D"/>
          <w:sz w:val="19"/>
        </w:rPr>
        <w:t>C</w:t>
      </w:r>
      <w:r>
        <w:rPr>
          <w:rFonts w:ascii="PingFang SC" w:hAnsi="PingFang SC" w:eastAsia="PingFang SC"/>
          <w:b/>
          <w:color w:val="202124"/>
          <w:sz w:val="22"/>
        </w:rPr>
        <w:tab/>
        <w:t>中继服务器定制软件开发</w:t>
      </w:r>
      <w:r>
        <w:rPr>
          <w:rFonts w:ascii="PingFang SC" w:hAnsi="PingFang SC" w:eastAsia="PingFang SC"/>
          <w:color w:val="5F6B72"/>
          <w:sz w:val="19"/>
        </w:rPr>
        <w:tab/>
        <w:t>10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vAlign w:val="center"/>
            <w:shd w:fill="EAF5EF"/>
            <w:tcBorders>
              <w:top w:val="single" w:sz="5" w:color="C9D3D6"/>
              <w:left w:val="single" w:sz="5" w:color="C9D3D6"/>
              <w:bottom w:val="single" w:sz="5" w:color="C9D3D6"/>
              <w:right w:val="single" w:sz="5" w:color="C9D3D6"/>
              <w:insideH w:val="single" w:sz="5" w:color="C9D3D6"/>
              <w:insideV w:val="single" w:sz="5" w:color="C9D3D6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88" w:lineRule="auto"/>
            </w:pPr>
            <w:r>
              <w:rPr>
                <w:rFonts w:ascii="PingFang SC" w:hAnsi="PingFang SC" w:eastAsia="PingFang SC"/>
                <w:b/>
                <w:color w:val="26734D"/>
                <w:sz w:val="21"/>
              </w:rPr>
              <w:t>方案主线：</w:t>
            </w:r>
            <w:r>
              <w:rPr>
                <w:rFonts w:ascii="PingFang SC" w:hAnsi="PingFang SC" w:eastAsia="PingFang SC"/>
                <w:color w:val="202124"/>
                <w:sz w:val="21"/>
              </w:rPr>
              <w:t>赛前开放互联网调试地址，正式比赛前关闭公网入口并切换到竞赛专用隔离内网；网关只开放赛事指定的有限国产模型，以统一参赛条件。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SectionKicker"/>
      </w:pPr>
      <w:r>
        <w:rPr>
          <w:rFonts w:ascii="PingFang SC" w:hAnsi="PingFang SC" w:eastAsia="PingFang SC"/>
          <w:b/>
          <w:color w:val="26734D"/>
          <w:sz w:val="18"/>
        </w:rPr>
        <w:t>01 / 项目背景</w:t>
      </w:r>
    </w:p>
    <w:p>
      <w:pPr>
        <w:pStyle w:val="Heading1"/>
        <w:keepNext/>
        <w:keepLines/>
        <w:widowControl/>
      </w:pPr>
      <w:r>
        <w:t>现场部署大模型成本过高，统一云端接入更方便选手</w:t>
      </w:r>
    </w:p>
    <w:p>
      <w:pPr>
        <w:widowControl/>
      </w:pPr>
      <w:r>
        <w:rPr>
          <w:rFonts w:ascii="PingFang SC" w:hAnsi="PingFang SC" w:eastAsia="PingFang SC"/>
        </w:rPr>
        <w:t>本次竞赛需要向约 20 名选手提供大模型能力。如在比赛现场直接部署和运行大模型，需要投入高性能 GPU 算力服务器，设备、部署和运维成本较高。本方案不在现场运行大模型，而是由轻量中继服务器统一调用云端模型，选手只需按统一接口说明调用，即可在赛前完成开发联调并在比赛现场继续使用。为保障竞赛公平，网关仅开放赛事指定的有限国产模型，统一模型名称、版本和调用条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4680"/>
        <w:gridCol w:w="4680"/>
      </w:tblGrid>
      <w:tr>
        <w:trPr>
          <w:cantSplit/>
          <w:trHeight w:hRule="atLeast"/>
        </w:trPr>
        <w:tc>
          <w:tcPr>
            <w:tcW w:type="dxa" w:w="4680"/>
            <w:shd w:fill="FFF8E7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top"/>
            <w:tcMar>
              <w:top w:w="130" w:type="dxa"/>
              <w:bottom w:w="13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PingFang SC" w:hAnsi="PingFang SC" w:eastAsia="PingFang SC"/>
                <w:b/>
                <w:color w:val="26734D"/>
                <w:sz w:val="17"/>
              </w:rPr>
              <w:t>现场自建大模型服务</w:t>
            </w:r>
          </w:p>
          <w:p>
            <w:pPr>
              <w:spacing w:before="0" w:after="100"/>
            </w:pPr>
            <w:r>
              <w:rPr>
                <w:rFonts w:ascii="PingFang SC" w:hAnsi="PingFang SC" w:eastAsia="PingFang SC"/>
                <w:b/>
                <w:color w:val="1F4D78"/>
                <w:sz w:val="24"/>
              </w:rPr>
              <w:t>设备和运行成本过高</w:t>
            </w:r>
          </w:p>
          <w:p>
            <w:pPr>
              <w:pStyle w:val="ListBullet"/>
              <w:spacing w:after="80" w:line="290" w:lineRule="auto"/>
              <w:ind w:left="540" w:hanging="279"/>
            </w:pPr>
            <w:r>
              <w:rPr>
                <w:rFonts w:ascii="PingFang SC" w:hAnsi="PingFang SC" w:eastAsia="PingFang SC"/>
                <w:sz w:val="20"/>
              </w:rPr>
              <w:t>需要采购高性能 GPU 算力服务器</w:t>
            </w:r>
          </w:p>
          <w:p>
            <w:pPr>
              <w:pStyle w:val="ListBullet"/>
              <w:spacing w:after="80" w:line="290" w:lineRule="auto"/>
              <w:ind w:left="540" w:hanging="279"/>
            </w:pPr>
            <w:r>
              <w:rPr>
                <w:rFonts w:ascii="PingFang SC" w:hAnsi="PingFang SC" w:eastAsia="PingFang SC"/>
                <w:sz w:val="20"/>
              </w:rPr>
              <w:t>大模型部署、调优和现场运维工作量大</w:t>
            </w:r>
          </w:p>
          <w:p>
            <w:pPr>
              <w:pStyle w:val="ListBullet"/>
              <w:spacing w:after="80" w:line="290" w:lineRule="auto"/>
              <w:ind w:left="540" w:hanging="279"/>
            </w:pPr>
            <w:r>
              <w:rPr>
                <w:rFonts w:ascii="PingFang SC" w:hAnsi="PingFang SC" w:eastAsia="PingFang SC"/>
                <w:sz w:val="20"/>
              </w:rPr>
              <w:t>为短期赛事投入重型算力，设备利用率低</w:t>
            </w:r>
          </w:p>
          <w:p>
            <w:pPr>
              <w:spacing w:before="120" w:after="0"/>
            </w:pPr>
            <w:r>
              <w:rPr>
                <w:rFonts w:ascii="PingFang SC" w:hAnsi="PingFang SC" w:eastAsia="PingFang SC"/>
                <w:b/>
                <w:color w:val="8A6426"/>
                <w:sz w:val="20"/>
              </w:rPr>
              <w:t>短期使用成本高，不适合本次竞赛。</w:t>
            </w:r>
          </w:p>
        </w:tc>
        <w:tc>
          <w:tcPr>
            <w:tcW w:type="dxa" w:w="4680"/>
            <w:shd w:fill="EAF5EF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top"/>
            <w:tcMar>
              <w:top w:w="130" w:type="dxa"/>
              <w:bottom w:w="13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PingFang SC" w:hAnsi="PingFang SC" w:eastAsia="PingFang SC"/>
                <w:b/>
                <w:color w:val="26734D"/>
                <w:sz w:val="17"/>
              </w:rPr>
              <w:t>通过统一网关接入</w:t>
            </w:r>
          </w:p>
          <w:p>
            <w:pPr>
              <w:spacing w:before="0" w:after="100"/>
            </w:pPr>
            <w:r>
              <w:rPr>
                <w:rFonts w:ascii="PingFang SC" w:hAnsi="PingFang SC" w:eastAsia="PingFang SC"/>
                <w:b/>
                <w:color w:val="1F4D78"/>
                <w:sz w:val="24"/>
              </w:rPr>
              <w:t>使用方便，参赛条件统一</w:t>
            </w:r>
          </w:p>
          <w:p>
            <w:pPr>
              <w:pStyle w:val="ListBullet"/>
              <w:spacing w:after="80" w:line="290" w:lineRule="auto"/>
              <w:ind w:left="540" w:hanging="279"/>
            </w:pPr>
            <w:r>
              <w:rPr>
                <w:rFonts w:ascii="PingFang SC" w:hAnsi="PingFang SC" w:eastAsia="PingFang SC"/>
                <w:sz w:val="20"/>
              </w:rPr>
              <w:t>无需在现场配置高性能模型算力服务器</w:t>
            </w:r>
          </w:p>
          <w:p>
            <w:pPr>
              <w:pStyle w:val="ListBullet"/>
              <w:spacing w:after="80" w:line="290" w:lineRule="auto"/>
              <w:ind w:left="540" w:hanging="279"/>
            </w:pPr>
            <w:r>
              <w:rPr>
                <w:rFonts w:ascii="PingFang SC" w:hAnsi="PingFang SC" w:eastAsia="PingFang SC"/>
                <w:sz w:val="20"/>
              </w:rPr>
              <w:t>选手按统一接口调用，无需配置平台账号和密钥</w:t>
            </w:r>
          </w:p>
          <w:p>
            <w:pPr>
              <w:pStyle w:val="ListBullet"/>
              <w:spacing w:after="80" w:line="290" w:lineRule="auto"/>
              <w:ind w:left="540" w:hanging="279"/>
            </w:pPr>
            <w:r>
              <w:rPr>
                <w:rFonts w:ascii="PingFang SC" w:hAnsi="PingFang SC" w:eastAsia="PingFang SC"/>
                <w:sz w:val="20"/>
              </w:rPr>
              <w:t>仅开放有限的指定国产模型，统一参赛条件</w:t>
            </w:r>
          </w:p>
          <w:p>
            <w:pPr>
              <w:spacing w:before="120" w:after="0"/>
            </w:pPr>
            <w:r>
              <w:rPr>
                <w:rFonts w:ascii="PingFang SC" w:hAnsi="PingFang SC" w:eastAsia="PingFang SC"/>
                <w:b/>
                <w:color w:val="26734D"/>
                <w:sz w:val="20"/>
              </w:rPr>
              <w:t>降低现场投入，方便选手，并保障模型使用公平。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vAlign w:val="center"/>
            <w:shd w:fill="F4F6F9"/>
            <w:tcBorders>
              <w:top w:val="single" w:sz="5" w:color="C9D3D6"/>
              <w:left w:val="single" w:sz="5" w:color="C9D3D6"/>
              <w:bottom w:val="single" w:sz="5" w:color="C9D3D6"/>
              <w:right w:val="single" w:sz="5" w:color="C9D3D6"/>
              <w:insideH w:val="single" w:sz="5" w:color="C9D3D6"/>
              <w:insideV w:val="single" w:sz="5" w:color="C9D3D6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88" w:lineRule="auto"/>
            </w:pPr>
            <w:r>
              <w:rPr>
                <w:rFonts w:ascii="PingFang SC" w:hAnsi="PingFang SC" w:eastAsia="PingFang SC"/>
                <w:b/>
                <w:color w:val="1F4D78"/>
                <w:sz w:val="21"/>
              </w:rPr>
              <w:t>相关问题：</w:t>
            </w:r>
            <w:r>
              <w:rPr>
                <w:rFonts w:ascii="PingFang SC" w:hAnsi="PingFang SC" w:eastAsia="PingFang SC"/>
                <w:color w:val="202124"/>
                <w:sz w:val="21"/>
              </w:rPr>
              <w:t>知识库与大语言模型之间有什么关系？详见附录二。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SectionKicker"/>
      </w:pPr>
      <w:r>
        <w:rPr>
          <w:rFonts w:ascii="PingFang SC" w:hAnsi="PingFang SC" w:eastAsia="PingFang SC"/>
          <w:b/>
          <w:color w:val="26734D"/>
          <w:sz w:val="18"/>
        </w:rPr>
        <w:t>02 / 赛前接口联调</w:t>
      </w:r>
    </w:p>
    <w:p>
      <w:pPr>
        <w:pStyle w:val="Heading1"/>
        <w:keepNext/>
        <w:keepLines/>
        <w:widowControl/>
      </w:pPr>
      <w:r>
        <w:t>配合甲方比赛安排，开放赛前线上联调服务</w:t>
      </w:r>
    </w:p>
    <w:p>
      <w:pPr>
        <w:widowControl/>
      </w:pPr>
      <w:r>
        <w:rPr>
          <w:rFonts w:ascii="PingFang SC" w:hAnsi="PingFang SC" w:eastAsia="PingFang SC"/>
        </w:rPr>
        <w:t>根据甲方比赛通知和赛程安排，我方提供互联网可访问的调试地址、接口说明及调用示例，并通过线上方式解答接口调用问题。选手可提前验证请求格式、模型名称、返回内容和业务程序；正式比赛时仅需切换服务地址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vAlign w:val="center"/>
            <w:shd w:fill="EEF4F8"/>
            <w:tcBorders>
              <w:top w:val="single" w:sz="5" w:color="C9D3D6"/>
              <w:left w:val="single" w:sz="5" w:color="C9D3D6"/>
              <w:bottom w:val="single" w:sz="5" w:color="C9D3D6"/>
              <w:right w:val="single" w:sz="5" w:color="C9D3D6"/>
              <w:insideH w:val="single" w:sz="5" w:color="C9D3D6"/>
              <w:insideV w:val="single" w:sz="5" w:color="C9D3D6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88" w:lineRule="auto"/>
            </w:pPr>
            <w:r>
              <w:rPr>
                <w:rFonts w:ascii="PingFang SC" w:hAnsi="PingFang SC" w:eastAsia="PingFang SC"/>
                <w:b/>
                <w:color w:val="1F4D78"/>
                <w:sz w:val="21"/>
              </w:rPr>
              <w:t>服务承诺：</w:t>
            </w:r>
            <w:r>
              <w:rPr>
                <w:rFonts w:ascii="PingFang SC" w:hAnsi="PingFang SC" w:eastAsia="PingFang SC"/>
                <w:color w:val="202124"/>
                <w:sz w:val="21"/>
              </w:rPr>
              <w:t>收到甲方比赛通知后，我方将按比赛安排开通互联网调试地址，并在赛前联调期间持续提供线上接口调用答疑和共性问题说明。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4680"/>
        <w:gridCol w:w="4680"/>
      </w:tblGrid>
      <w:tr>
        <w:trPr>
          <w:cantSplit/>
          <w:trHeight w:hRule="atLeast"/>
        </w:trPr>
        <w:tc>
          <w:tcPr>
            <w:tcW w:type="dxa" w:w="4680"/>
            <w:shd w:fill="EEF4F8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top"/>
            <w:tcMar>
              <w:top w:w="130" w:type="dxa"/>
              <w:bottom w:w="13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PingFang SC" w:hAnsi="PingFang SC" w:eastAsia="PingFang SC"/>
                <w:b/>
                <w:color w:val="26734D"/>
                <w:sz w:val="17"/>
              </w:rPr>
              <w:t>01 / 服务开通</w:t>
            </w:r>
          </w:p>
          <w:p>
            <w:pPr>
              <w:spacing w:before="0" w:after="100"/>
            </w:pPr>
            <w:r>
              <w:rPr>
                <w:rFonts w:ascii="PingFang SC" w:hAnsi="PingFang SC" w:eastAsia="PingFang SC"/>
                <w:b/>
                <w:color w:val="1F4D78"/>
                <w:sz w:val="24"/>
              </w:rPr>
              <w:t>互联网调试接口</w:t>
            </w:r>
          </w:p>
          <w:p>
            <w:pPr>
              <w:spacing w:after="14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甲方比赛通知  →  开通调试地址  →  选手线上联调</w:t>
            </w:r>
          </w:p>
          <w:p>
            <w:pPr>
              <w:pStyle w:val="ListBullet"/>
              <w:spacing w:after="80" w:line="290" w:lineRule="auto"/>
              <w:ind w:left="540" w:hanging="279"/>
            </w:pPr>
            <w:r>
              <w:rPr>
                <w:rFonts w:ascii="PingFang SC" w:hAnsi="PingFang SC" w:eastAsia="PingFang SC"/>
                <w:sz w:val="20"/>
              </w:rPr>
              <w:t>根据甲方比赛通知和赛程安排开通服务</w:t>
            </w:r>
          </w:p>
          <w:p>
            <w:pPr>
              <w:pStyle w:val="ListBullet"/>
              <w:spacing w:after="80" w:line="290" w:lineRule="auto"/>
              <w:ind w:left="540" w:hanging="279"/>
            </w:pPr>
            <w:r>
              <w:rPr>
                <w:rFonts w:ascii="PingFang SC" w:hAnsi="PingFang SC" w:eastAsia="PingFang SC"/>
                <w:sz w:val="20"/>
              </w:rPr>
              <w:t>提供互联网可访问的调试地址和统一接口说明</w:t>
            </w:r>
          </w:p>
          <w:p>
            <w:pPr>
              <w:pStyle w:val="ListBullet"/>
              <w:spacing w:after="80" w:line="290" w:lineRule="auto"/>
              <w:ind w:left="540" w:hanging="279"/>
            </w:pPr>
            <w:r>
              <w:rPr>
                <w:rFonts w:ascii="PingFang SC" w:hAnsi="PingFang SC" w:eastAsia="PingFang SC"/>
                <w:sz w:val="20"/>
              </w:rPr>
              <w:t>开放与比赛一致的接口格式和模型名称</w:t>
            </w:r>
          </w:p>
        </w:tc>
        <w:tc>
          <w:tcPr>
            <w:tcW w:type="dxa" w:w="4680"/>
            <w:shd w:fill="EAF5EF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top"/>
            <w:tcMar>
              <w:top w:w="130" w:type="dxa"/>
              <w:bottom w:w="13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PingFang SC" w:hAnsi="PingFang SC" w:eastAsia="PingFang SC"/>
                <w:b/>
                <w:color w:val="26734D"/>
                <w:sz w:val="17"/>
              </w:rPr>
              <w:t>02 / 技术支持</w:t>
            </w:r>
          </w:p>
          <w:p>
            <w:pPr>
              <w:spacing w:before="0" w:after="100"/>
            </w:pPr>
            <w:r>
              <w:rPr>
                <w:rFonts w:ascii="PingFang SC" w:hAnsi="PingFang SC" w:eastAsia="PingFang SC"/>
                <w:b/>
                <w:color w:val="1F4D78"/>
                <w:sz w:val="24"/>
              </w:rPr>
              <w:t>线上接口调用答疑</w:t>
            </w:r>
          </w:p>
          <w:p>
            <w:pPr>
              <w:spacing w:after="140"/>
            </w:pPr>
            <w:r>
              <w:rPr>
                <w:rFonts w:ascii="PingFang SC" w:hAnsi="PingFang SC" w:eastAsia="PingFang SC"/>
                <w:b/>
                <w:color w:val="26734D"/>
                <w:sz w:val="18"/>
              </w:rPr>
              <w:t>线上问题反馈  →  答疑与问题处理  →  反馈联调结果</w:t>
            </w:r>
          </w:p>
          <w:p>
            <w:pPr>
              <w:pStyle w:val="ListBullet"/>
              <w:spacing w:after="80" w:line="290" w:lineRule="auto"/>
              <w:ind w:left="540" w:hanging="279"/>
            </w:pPr>
            <w:r>
              <w:rPr>
                <w:rFonts w:ascii="PingFang SC" w:hAnsi="PingFang SC" w:eastAsia="PingFang SC"/>
                <w:sz w:val="20"/>
              </w:rPr>
              <w:t>解答接口地址、请求参数和结果解析问题</w:t>
            </w:r>
          </w:p>
          <w:p>
            <w:pPr>
              <w:pStyle w:val="ListBullet"/>
              <w:spacing w:after="80" w:line="290" w:lineRule="auto"/>
              <w:ind w:left="540" w:hanging="279"/>
            </w:pPr>
            <w:r>
              <w:rPr>
                <w:rFonts w:ascii="PingFang SC" w:hAnsi="PingFang SC" w:eastAsia="PingFang SC"/>
                <w:sz w:val="20"/>
              </w:rPr>
              <w:t>校验模型白名单和统一模型短名</w:t>
            </w:r>
          </w:p>
          <w:p>
            <w:pPr>
              <w:pStyle w:val="ListBullet"/>
              <w:spacing w:after="80" w:line="290" w:lineRule="auto"/>
              <w:ind w:left="540" w:hanging="279"/>
            </w:pPr>
            <w:r>
              <w:rPr>
                <w:rFonts w:ascii="PingFang SC" w:hAnsi="PingFang SC" w:eastAsia="PingFang SC"/>
                <w:sz w:val="20"/>
              </w:rPr>
              <w:t>汇总共性问题并提供统一说明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vAlign w:val="center"/>
            <w:shd w:fill="EAF5EF"/>
            <w:tcBorders>
              <w:top w:val="single" w:sz="5" w:color="C9D3D6"/>
              <w:left w:val="single" w:sz="5" w:color="C9D3D6"/>
              <w:bottom w:val="single" w:sz="5" w:color="C9D3D6"/>
              <w:right w:val="single" w:sz="5" w:color="C9D3D6"/>
              <w:insideH w:val="single" w:sz="5" w:color="C9D3D6"/>
              <w:insideV w:val="single" w:sz="5" w:color="C9D3D6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88" w:lineRule="auto"/>
            </w:pPr>
            <w:r>
              <w:rPr>
                <w:rFonts w:ascii="PingFang SC" w:hAnsi="PingFang SC" w:eastAsia="PingFang SC"/>
                <w:b/>
                <w:color w:val="26734D"/>
                <w:sz w:val="21"/>
              </w:rPr>
              <w:t>阶段完成标志：</w:t>
            </w:r>
            <w:r>
              <w:rPr>
                <w:rFonts w:ascii="PingFang SC" w:hAnsi="PingFang SC" w:eastAsia="PingFang SC"/>
                <w:color w:val="202124"/>
                <w:sz w:val="21"/>
              </w:rPr>
              <w:t>选手可以通过赛前调试地址稳定调用指定模型，业务程序已完成基本连通和返回结果解析。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SectionKicker"/>
      </w:pPr>
      <w:r>
        <w:rPr>
          <w:rFonts w:ascii="PingFang SC" w:hAnsi="PingFang SC" w:eastAsia="PingFang SC"/>
          <w:b/>
          <w:color w:val="26734D"/>
          <w:sz w:val="18"/>
        </w:rPr>
        <w:t>03 / 赛前设备部署与联调</w:t>
      </w:r>
    </w:p>
    <w:p>
      <w:pPr>
        <w:pStyle w:val="Heading1"/>
        <w:keepNext/>
        <w:keepLines/>
        <w:widowControl/>
      </w:pPr>
      <w:r>
        <w:t>提前完成现场设备安装、组网和实机演练</w:t>
      </w:r>
    </w:p>
    <w:p>
      <w:pPr>
        <w:widowControl/>
      </w:pPr>
      <w:r>
        <w:rPr>
          <w:rFonts w:ascii="PingFang SC" w:hAnsi="PingFang SC" w:eastAsia="PingFang SC"/>
        </w:rPr>
        <w:t>我方在正式比赛开始前至少 24 小时，或按甲方指定时间到达现场，完成中继服务器、交换机 / AP、网线和供电辅材的安装调试，配置赛场服务地址，并使用实际参赛终端进行全链路真机演练。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vAlign w:val="center"/>
            <w:shd w:fill="EEF4F8"/>
            <w:tcBorders>
              <w:top w:val="single" w:sz="5" w:color="C9D3D6"/>
              <w:left w:val="single" w:sz="5" w:color="C9D3D6"/>
              <w:bottom w:val="single" w:sz="5" w:color="C9D3D6"/>
              <w:right w:val="single" w:sz="5" w:color="C9D3D6"/>
              <w:insideH w:val="single" w:sz="5" w:color="C9D3D6"/>
              <w:insideV w:val="single" w:sz="5" w:color="C9D3D6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88" w:lineRule="auto"/>
            </w:pPr>
            <w:r>
              <w:rPr>
                <w:rFonts w:ascii="PingFang SC" w:hAnsi="PingFang SC" w:eastAsia="PingFang SC"/>
                <w:b/>
                <w:color w:val="1F4D78"/>
                <w:sz w:val="21"/>
              </w:rPr>
              <w:t>到场安排：</w:t>
            </w:r>
            <w:r>
              <w:rPr>
                <w:rFonts w:ascii="PingFang SC" w:hAnsi="PingFang SC" w:eastAsia="PingFang SC"/>
                <w:color w:val="202124"/>
                <w:sz w:val="21"/>
              </w:rPr>
              <w:t>我方提前至少 24 小时或按甲方要求到场，配合完成设备部署、现场网络联调及实际参赛终端真机演练，并在开赛前完成问题整改和服务复检。</w:t>
            </w:r>
          </w:p>
        </w:tc>
      </w:tr>
    </w:tbl>
    <w:p>
      <w:pPr>
        <w:spacing w:after="40"/>
      </w:pP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15912"/>
            <wp:docPr id="1" name="Picture 1" descr="约 20 台选手电脑通过独立交换机或 AP 访问中继服务器有线网口；中继服务器通过 Wi-Fi 访问现有上网路由器和大模型平台。选手终端禁止直连互联网。" title="图 1  正式比赛竞赛专用隔离组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竞赛大模型网关-组网拓扑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widowControl/>
      </w:pPr>
      <w:r>
        <w:t>图 1  正式比赛竞赛专用隔离组网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vAlign w:val="center"/>
            <w:shd w:fill="FFF8E7"/>
            <w:tcBorders>
              <w:top w:val="single" w:sz="5" w:color="C9D3D6"/>
              <w:left w:val="single" w:sz="5" w:color="C9D3D6"/>
              <w:bottom w:val="single" w:sz="5" w:color="C9D3D6"/>
              <w:right w:val="single" w:sz="5" w:color="C9D3D6"/>
              <w:insideH w:val="single" w:sz="5" w:color="C9D3D6"/>
              <w:insideV w:val="single" w:sz="5" w:color="C9D3D6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88" w:lineRule="auto"/>
            </w:pPr>
            <w:r>
              <w:rPr>
                <w:rFonts w:ascii="PingFang SC" w:hAnsi="PingFang SC" w:eastAsia="PingFang SC"/>
                <w:b/>
                <w:color w:val="8A6426"/>
                <w:sz w:val="21"/>
              </w:rPr>
              <w:t>隔离原则：</w:t>
            </w:r>
            <w:r>
              <w:rPr>
                <w:rFonts w:ascii="PingFang SC" w:hAnsi="PingFang SC" w:eastAsia="PingFang SC"/>
                <w:color w:val="202124"/>
                <w:sz w:val="21"/>
              </w:rPr>
              <w:t>中继服务器不启用互联网共享，不做通用路由转发；只有模型请求和模型回答通过中继服务器，选手终端不能直接访问互联网。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SectionKicker"/>
      </w:pPr>
      <w:r>
        <w:rPr>
          <w:rFonts w:ascii="PingFang SC" w:hAnsi="PingFang SC" w:eastAsia="PingFang SC"/>
          <w:b/>
          <w:color w:val="26734D"/>
          <w:sz w:val="18"/>
        </w:rPr>
        <w:t>04 / 赛事现场运行保障</w:t>
      </w:r>
    </w:p>
    <w:p>
      <w:pPr>
        <w:pStyle w:val="Heading1"/>
        <w:keepNext/>
        <w:keepLines/>
        <w:widowControl/>
      </w:pPr>
      <w:r>
        <w:t>赛前复检、赛中值守、异常处置和赛后收尾</w:t>
      </w:r>
    </w:p>
    <w:p>
      <w:pPr>
        <w:widowControl/>
      </w:pPr>
      <w:r>
        <w:rPr>
          <w:rFonts w:ascii="PingFang SC" w:hAnsi="PingFang SC" w:eastAsia="PingFang SC"/>
        </w:rPr>
        <w:t>正式比赛开始前关闭赛前公网调试入口，启用赛场内网服务地址并完成最后复检。比赛期间由我方提供现场技术保障，持续检查网关、设备、网络和云端模型调用状态。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2300"/>
        <w:gridCol w:w="6160"/>
      </w:tblGrid>
      <w:tr>
        <w:trPr>
          <w:trHeight w:hRule="atLeast"/>
          <w:tblHeader w:val="true"/>
          <w:cantSplit/>
        </w:trPr>
        <w:tc>
          <w:tcPr>
            <w:tcW w:type="dxa" w:w="900"/>
            <w:shd w:fill="F4F6F9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阶段</w:t>
            </w:r>
          </w:p>
        </w:tc>
        <w:tc>
          <w:tcPr>
            <w:tcW w:type="dxa" w:w="2300"/>
            <w:shd w:fill="F4F6F9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保障事项</w:t>
            </w:r>
          </w:p>
        </w:tc>
        <w:tc>
          <w:tcPr>
            <w:tcW w:type="dxa" w:w="6160"/>
            <w:shd w:fill="F4F6F9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工作内容</w:t>
            </w:r>
          </w:p>
        </w:tc>
      </w:tr>
      <w:tr>
        <w:trPr>
          <w:cantSplit/>
          <w:trHeight w:hRule="atLeast"/>
        </w:trPr>
        <w:tc>
          <w:tcPr>
            <w:tcW w:type="dxa" w:w="90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PingFang SC" w:hAnsi="PingFang SC" w:eastAsia="PingFang SC"/>
                <w:color w:val="202124"/>
                <w:sz w:val="20"/>
              </w:rPr>
              <w:t>01</w:t>
            </w:r>
          </w:p>
        </w:tc>
        <w:tc>
          <w:tcPr>
            <w:tcW w:type="dxa" w:w="230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PingFang SC" w:hAnsi="PingFang SC" w:eastAsia="PingFang SC"/>
                <w:color w:val="202124"/>
                <w:sz w:val="20"/>
              </w:rPr>
              <w:t>开赛前复检</w:t>
            </w:r>
          </w:p>
        </w:tc>
        <w:tc>
          <w:tcPr>
            <w:tcW w:type="dxa" w:w="616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PingFang SC" w:hAnsi="PingFang SC" w:eastAsia="PingFang SC"/>
                <w:color w:val="202124"/>
                <w:sz w:val="20"/>
              </w:rPr>
              <w:t>关闭赛前公网调试入口，检查中继服务器、赛场内网地址、模型白名单和实际调用。</w:t>
            </w:r>
          </w:p>
        </w:tc>
      </w:tr>
      <w:tr>
        <w:trPr>
          <w:cantSplit/>
          <w:trHeight w:hRule="atLeast"/>
        </w:trPr>
        <w:tc>
          <w:tcPr>
            <w:tcW w:type="dxa" w:w="90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PingFang SC" w:hAnsi="PingFang SC" w:eastAsia="PingFang SC"/>
                <w:color w:val="202124"/>
                <w:sz w:val="20"/>
              </w:rPr>
              <w:t>02</w:t>
            </w:r>
          </w:p>
        </w:tc>
        <w:tc>
          <w:tcPr>
            <w:tcW w:type="dxa" w:w="230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PingFang SC" w:hAnsi="PingFang SC" w:eastAsia="PingFang SC"/>
                <w:color w:val="202124"/>
                <w:sz w:val="20"/>
              </w:rPr>
              <w:t>比赛期间值守</w:t>
            </w:r>
          </w:p>
        </w:tc>
        <w:tc>
          <w:tcPr>
            <w:tcW w:type="dxa" w:w="616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PingFang SC" w:hAnsi="PingFang SC" w:eastAsia="PingFang SC"/>
                <w:color w:val="202124"/>
                <w:sz w:val="20"/>
              </w:rPr>
              <w:t>监测网关健康状态、模型平台连通性和请求返回情况，及时响应选手和现场工作人员反馈。</w:t>
            </w:r>
          </w:p>
        </w:tc>
      </w:tr>
      <w:tr>
        <w:trPr>
          <w:cantSplit/>
          <w:trHeight w:hRule="atLeast"/>
        </w:trPr>
        <w:tc>
          <w:tcPr>
            <w:tcW w:type="dxa" w:w="90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PingFang SC" w:hAnsi="PingFang SC" w:eastAsia="PingFang SC"/>
                <w:color w:val="202124"/>
                <w:sz w:val="20"/>
              </w:rPr>
              <w:t>03</w:t>
            </w:r>
          </w:p>
        </w:tc>
        <w:tc>
          <w:tcPr>
            <w:tcW w:type="dxa" w:w="230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PingFang SC" w:hAnsi="PingFang SC" w:eastAsia="PingFang SC"/>
                <w:color w:val="202124"/>
                <w:sz w:val="20"/>
              </w:rPr>
              <w:t>异常定位与处置</w:t>
            </w:r>
          </w:p>
        </w:tc>
        <w:tc>
          <w:tcPr>
            <w:tcW w:type="dxa" w:w="616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PingFang SC" w:hAnsi="PingFang SC" w:eastAsia="PingFang SC"/>
                <w:color w:val="202124"/>
                <w:sz w:val="20"/>
              </w:rPr>
              <w:t>遇到连接失败、请求超时、模型错误或设备异常时，按终端、现场网络、网关和云端平台顺序排查处置。</w:t>
            </w:r>
          </w:p>
        </w:tc>
      </w:tr>
      <w:tr>
        <w:trPr>
          <w:cantSplit/>
          <w:trHeight w:hRule="atLeast"/>
        </w:trPr>
        <w:tc>
          <w:tcPr>
            <w:tcW w:type="dxa" w:w="90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PingFang SC" w:hAnsi="PingFang SC" w:eastAsia="PingFang SC"/>
                <w:color w:val="202124"/>
                <w:sz w:val="20"/>
              </w:rPr>
              <w:t>04</w:t>
            </w:r>
          </w:p>
        </w:tc>
        <w:tc>
          <w:tcPr>
            <w:tcW w:type="dxa" w:w="230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PingFang SC" w:hAnsi="PingFang SC" w:eastAsia="PingFang SC"/>
                <w:color w:val="202124"/>
                <w:sz w:val="20"/>
              </w:rPr>
              <w:t>赛后收尾</w:t>
            </w:r>
          </w:p>
        </w:tc>
        <w:tc>
          <w:tcPr>
            <w:tcW w:type="dxa" w:w="616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PingFang SC" w:hAnsi="PingFang SC" w:eastAsia="PingFang SC"/>
                <w:color w:val="202124"/>
                <w:sz w:val="20"/>
              </w:rPr>
              <w:t>比赛结束后停用临时服务入口，整理现场保障记录和问题处置情况，完成设备及文档收尾。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vAlign w:val="center"/>
            <w:shd w:fill="FFF8E7"/>
            <w:tcBorders>
              <w:top w:val="single" w:sz="5" w:color="C9D3D6"/>
              <w:left w:val="single" w:sz="5" w:color="C9D3D6"/>
              <w:bottom w:val="single" w:sz="5" w:color="C9D3D6"/>
              <w:right w:val="single" w:sz="5" w:color="C9D3D6"/>
              <w:insideH w:val="single" w:sz="5" w:color="C9D3D6"/>
              <w:insideV w:val="single" w:sz="5" w:color="C9D3D6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88" w:lineRule="auto"/>
            </w:pPr>
            <w:r>
              <w:rPr>
                <w:rFonts w:ascii="PingFang SC" w:hAnsi="PingFang SC" w:eastAsia="PingFang SC"/>
                <w:b/>
                <w:color w:val="8A6426"/>
                <w:sz w:val="21"/>
              </w:rPr>
              <w:t>现场保障边界：</w:t>
            </w:r>
            <w:r>
              <w:rPr>
                <w:rFonts w:ascii="PingFang SC" w:hAnsi="PingFang SC" w:eastAsia="PingFang SC"/>
                <w:color w:val="202124"/>
                <w:sz w:val="21"/>
              </w:rPr>
              <w:t>我方负责网关、组网设备和模型调用链路的检查与处置；甲方负责现场工位、参赛终端、基础供电和互联网出口的协调。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SectionKicker"/>
      </w:pPr>
      <w:r>
        <w:rPr>
          <w:rFonts w:ascii="PingFang SC" w:hAnsi="PingFang SC" w:eastAsia="PingFang SC"/>
          <w:b/>
          <w:color w:val="26734D"/>
          <w:sz w:val="18"/>
        </w:rPr>
        <w:t>附录一 / 现场设备与费用承担</w:t>
      </w:r>
    </w:p>
    <w:p>
      <w:pPr>
        <w:pStyle w:val="Heading1"/>
        <w:keepNext/>
        <w:keepLines/>
        <w:widowControl/>
      </w:pPr>
      <w:r>
        <w:t>新增网关及组网设备由我方提供，硅基流动 Token 费用由我方承担</w:t>
      </w:r>
    </w:p>
    <w:p>
      <w:pPr>
        <w:widowControl/>
      </w:pPr>
      <w:r>
        <w:rPr>
          <w:rFonts w:ascii="PingFang SC" w:hAnsi="PingFang SC" w:eastAsia="PingFang SC"/>
        </w:rPr>
        <w:t>为便于甲方统筹，本方案将项目新增的核心设备、现场组网辅材与模型调用成本统一纳入我方保障范围，甲方无需另行采购或充值。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4680"/>
        <w:gridCol w:w="4680"/>
      </w:tblGrid>
      <w:tr>
        <w:trPr>
          <w:cantSplit/>
          <w:trHeight w:hRule="atLeast"/>
        </w:trPr>
        <w:tc>
          <w:tcPr>
            <w:tcW w:type="dxa" w:w="4680"/>
            <w:shd w:fill="EEF4F8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top"/>
            <w:tcMar>
              <w:top w:w="130" w:type="dxa"/>
              <w:bottom w:w="13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PingFang SC" w:hAnsi="PingFang SC" w:eastAsia="PingFang SC"/>
                <w:b/>
                <w:color w:val="26734D"/>
                <w:sz w:val="17"/>
              </w:rPr>
              <w:t>设备投入</w:t>
            </w:r>
          </w:p>
          <w:p>
            <w:pPr>
              <w:spacing w:before="0" w:after="100"/>
            </w:pPr>
            <w:r>
              <w:rPr>
                <w:rFonts w:ascii="PingFang SC" w:hAnsi="PingFang SC" w:eastAsia="PingFang SC"/>
                <w:b/>
                <w:color w:val="1F4D78"/>
                <w:sz w:val="24"/>
              </w:rPr>
              <w:t>我方负责</w:t>
            </w:r>
          </w:p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负责项目所需中继服务器、独立交换机 / AP、网线及必要转接辅材的提供、安装和调试。</w:t>
            </w:r>
          </w:p>
        </w:tc>
        <w:tc>
          <w:tcPr>
            <w:tcW w:type="dxa" w:w="4680"/>
            <w:shd w:fill="EAF5EF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top"/>
            <w:tcMar>
              <w:top w:w="130" w:type="dxa"/>
              <w:bottom w:w="13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PingFang SC" w:hAnsi="PingFang SC" w:eastAsia="PingFang SC"/>
                <w:b/>
                <w:color w:val="26734D"/>
                <w:sz w:val="17"/>
              </w:rPr>
              <w:t>模型调用成本</w:t>
            </w:r>
          </w:p>
          <w:p>
            <w:pPr>
              <w:spacing w:before="0" w:after="100"/>
            </w:pPr>
            <w:r>
              <w:rPr>
                <w:rFonts w:ascii="PingFang SC" w:hAnsi="PingFang SC" w:eastAsia="PingFang SC"/>
                <w:b/>
                <w:color w:val="1F4D78"/>
                <w:sz w:val="24"/>
              </w:rPr>
              <w:t>我方承担</w:t>
            </w:r>
          </w:p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赛前联调和正式比赛期间，通过本项目网关产生的硅基流动 Token 费用由我方统一充值并承担。</w:t>
            </w:r>
          </w:p>
        </w:tc>
      </w:tr>
    </w:tbl>
    <w:p>
      <w:pPr>
        <w:pStyle w:val="Heading2"/>
        <w:keepNext/>
        <w:keepLines/>
        <w:widowControl/>
      </w:pPr>
      <w:r>
        <w:t>A.1  现场设备清单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560"/>
        <w:gridCol w:w="2720"/>
        <w:gridCol w:w="1180"/>
      </w:tblGrid>
      <w:tr>
        <w:trPr>
          <w:trHeight w:hRule="atLeast"/>
          <w:tblHeader w:val="true"/>
          <w:cantSplit/>
        </w:trPr>
        <w:tc>
          <w:tcPr>
            <w:tcW w:type="dxa" w:w="1900"/>
            <w:shd w:fill="F4F6F9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设备 / 材料</w:t>
            </w:r>
          </w:p>
        </w:tc>
        <w:tc>
          <w:tcPr>
            <w:tcW w:type="dxa" w:w="3560"/>
            <w:shd w:fill="F4F6F9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主要用途</w:t>
            </w:r>
          </w:p>
        </w:tc>
        <w:tc>
          <w:tcPr>
            <w:tcW w:type="dxa" w:w="2720"/>
            <w:shd w:fill="F4F6F9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数量或配置原则</w:t>
            </w:r>
          </w:p>
        </w:tc>
        <w:tc>
          <w:tcPr>
            <w:tcW w:type="dxa" w:w="1180"/>
            <w:shd w:fill="F4F6F9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承担方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PingFang SC" w:hAnsi="PingFang SC" w:eastAsia="PingFang SC"/>
                <w:color w:val="202124"/>
                <w:sz w:val="18"/>
              </w:rPr>
              <w:t>Mac mini 中继服务器</w:t>
            </w:r>
          </w:p>
        </w:tc>
        <w:tc>
          <w:tcPr>
            <w:tcW w:type="dxa" w:w="356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PingFang SC" w:hAnsi="PingFang SC" w:eastAsia="PingFang SC"/>
                <w:color w:val="202124"/>
                <w:sz w:val="18"/>
              </w:rPr>
              <w:t>运行大模型网关，完成模型白名单检查、密钥保管、请求转发和结果返回。</w:t>
            </w:r>
          </w:p>
        </w:tc>
        <w:tc>
          <w:tcPr>
            <w:tcW w:type="dxa" w:w="272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PingFang SC" w:hAnsi="PingFang SC" w:eastAsia="PingFang SC"/>
                <w:color w:val="202124"/>
                <w:sz w:val="18"/>
              </w:rPr>
              <w:t>1 台，同时连接管理侧外网与赛场隔离内网。</w:t>
            </w:r>
          </w:p>
        </w:tc>
        <w:tc>
          <w:tcPr>
            <w:tcW w:type="dxa" w:w="118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PingFang SC" w:hAnsi="PingFang SC" w:eastAsia="PingFang SC"/>
                <w:color w:val="202124"/>
                <w:sz w:val="18"/>
              </w:rPr>
              <w:t>我方提供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PingFang SC" w:hAnsi="PingFang SC" w:eastAsia="PingFang SC"/>
                <w:color w:val="202124"/>
                <w:sz w:val="18"/>
              </w:rPr>
              <w:t>独立千兆交换机</w:t>
            </w:r>
          </w:p>
        </w:tc>
        <w:tc>
          <w:tcPr>
            <w:tcW w:type="dxa" w:w="356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PingFang SC" w:hAnsi="PingFang SC" w:eastAsia="PingFang SC"/>
                <w:color w:val="202124"/>
                <w:sz w:val="18"/>
              </w:rPr>
              <w:t>连接中继服务器与赛场终端，形成不接入互联网的竞赛局域网。</w:t>
            </w:r>
          </w:p>
        </w:tc>
        <w:tc>
          <w:tcPr>
            <w:tcW w:type="dxa" w:w="272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PingFang SC" w:hAnsi="PingFang SC" w:eastAsia="PingFang SC"/>
                <w:color w:val="202124"/>
                <w:sz w:val="18"/>
              </w:rPr>
              <w:t>1 台，端口数按现场有线连接需求配置。</w:t>
            </w:r>
          </w:p>
        </w:tc>
        <w:tc>
          <w:tcPr>
            <w:tcW w:type="dxa" w:w="118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PingFang SC" w:hAnsi="PingFang SC" w:eastAsia="PingFang SC"/>
                <w:color w:val="202124"/>
                <w:sz w:val="18"/>
              </w:rPr>
              <w:t>我方提供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PingFang SC" w:hAnsi="PingFang SC" w:eastAsia="PingFang SC"/>
                <w:color w:val="202124"/>
                <w:sz w:val="18"/>
              </w:rPr>
              <w:t>专用无线 AP</w:t>
            </w:r>
          </w:p>
        </w:tc>
        <w:tc>
          <w:tcPr>
            <w:tcW w:type="dxa" w:w="356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PingFang SC" w:hAnsi="PingFang SC" w:eastAsia="PingFang SC"/>
                <w:color w:val="202124"/>
                <w:sz w:val="18"/>
              </w:rPr>
              <w:t>在选手需要无线接入时，仅提供赛场内网 Wi-Fi，不接入互联网。</w:t>
            </w:r>
          </w:p>
        </w:tc>
        <w:tc>
          <w:tcPr>
            <w:tcW w:type="dxa" w:w="272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PingFang SC" w:hAnsi="PingFang SC" w:eastAsia="PingFang SC"/>
                <w:color w:val="202124"/>
                <w:sz w:val="18"/>
              </w:rPr>
              <w:t>按场地覆盖和并发需求配置。</w:t>
            </w:r>
          </w:p>
        </w:tc>
        <w:tc>
          <w:tcPr>
            <w:tcW w:type="dxa" w:w="118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PingFang SC" w:hAnsi="PingFang SC" w:eastAsia="PingFang SC"/>
                <w:color w:val="202124"/>
                <w:sz w:val="18"/>
              </w:rPr>
              <w:t>我方提供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PingFang SC" w:hAnsi="PingFang SC" w:eastAsia="PingFang SC"/>
                <w:color w:val="202124"/>
                <w:sz w:val="18"/>
              </w:rPr>
              <w:t>网线、转接器与供电辅材</w:t>
            </w:r>
          </w:p>
        </w:tc>
        <w:tc>
          <w:tcPr>
            <w:tcW w:type="dxa" w:w="356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PingFang SC" w:hAnsi="PingFang SC" w:eastAsia="PingFang SC"/>
                <w:color w:val="202124"/>
                <w:sz w:val="18"/>
              </w:rPr>
              <w:t>完成设备互联、稳定供电和必要的网口转接。</w:t>
            </w:r>
          </w:p>
        </w:tc>
        <w:tc>
          <w:tcPr>
            <w:tcW w:type="dxa" w:w="272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PingFang SC" w:hAnsi="PingFang SC" w:eastAsia="PingFang SC"/>
                <w:color w:val="202124"/>
                <w:sz w:val="18"/>
              </w:rPr>
              <w:t>按现场工位、布线距离和终端接口配置。</w:t>
            </w:r>
          </w:p>
        </w:tc>
        <w:tc>
          <w:tcPr>
            <w:tcW w:type="dxa" w:w="118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PingFang SC" w:hAnsi="PingFang SC" w:eastAsia="PingFang SC"/>
                <w:color w:val="202124"/>
                <w:sz w:val="18"/>
              </w:rPr>
              <w:t>我方提供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  <w:keepLines/>
        <w:widowControl/>
      </w:pPr>
      <w:r>
        <w:t>A.2  费用与现场条件边界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700"/>
        <w:gridCol w:w="3760"/>
      </w:tblGrid>
      <w:tr>
        <w:trPr>
          <w:trHeight w:hRule="atLeast"/>
          <w:tblHeader w:val="true"/>
          <w:cantSplit/>
        </w:trPr>
        <w:tc>
          <w:tcPr>
            <w:tcW w:type="dxa" w:w="1900"/>
            <w:shd w:fill="F4F6F9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3700"/>
            <w:shd w:fill="F4F6F9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具体说明</w:t>
            </w:r>
          </w:p>
        </w:tc>
        <w:tc>
          <w:tcPr>
            <w:tcW w:type="dxa" w:w="3760"/>
            <w:shd w:fill="F4F6F9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责任安排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PingFang SC" w:hAnsi="PingFang SC" w:eastAsia="PingFang SC"/>
                <w:color w:val="202124"/>
                <w:sz w:val="19"/>
              </w:rPr>
              <w:t>硅基流动 Token 费用</w:t>
            </w:r>
          </w:p>
        </w:tc>
        <w:tc>
          <w:tcPr>
            <w:tcW w:type="dxa" w:w="370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PingFang SC" w:hAnsi="PingFang SC" w:eastAsia="PingFang SC"/>
                <w:color w:val="202124"/>
                <w:sz w:val="19"/>
              </w:rPr>
              <w:t>包括本项目赛前联调及正式比赛服务期间，由网关调用赛事指定模型所产生的 Token 消耗。</w:t>
            </w:r>
          </w:p>
        </w:tc>
        <w:tc>
          <w:tcPr>
            <w:tcW w:type="dxa" w:w="376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PingFang SC" w:hAnsi="PingFang SC" w:eastAsia="PingFang SC"/>
                <w:color w:val="202124"/>
                <w:sz w:val="19"/>
              </w:rPr>
              <w:t>由我方统一承担，甲方无需单独充值或结算。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PingFang SC" w:hAnsi="PingFang SC" w:eastAsia="PingFang SC"/>
                <w:color w:val="202124"/>
                <w:sz w:val="19"/>
              </w:rPr>
              <w:t>网关及组网设备</w:t>
            </w:r>
          </w:p>
        </w:tc>
        <w:tc>
          <w:tcPr>
            <w:tcW w:type="dxa" w:w="370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PingFang SC" w:hAnsi="PingFang SC" w:eastAsia="PingFang SC"/>
                <w:color w:val="202124"/>
                <w:sz w:val="19"/>
              </w:rPr>
              <w:t>上述中继服务器、交换机 / AP 和必要辅材的提供、安装、调试和赛事期间保障。</w:t>
            </w:r>
          </w:p>
        </w:tc>
        <w:tc>
          <w:tcPr>
            <w:tcW w:type="dxa" w:w="376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PingFang SC" w:hAnsi="PingFang SC" w:eastAsia="PingFang SC"/>
                <w:color w:val="202124"/>
                <w:sz w:val="19"/>
              </w:rPr>
              <w:t>由我方负责。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PingFang SC" w:hAnsi="PingFang SC" w:eastAsia="PingFang SC"/>
                <w:color w:val="202124"/>
                <w:sz w:val="19"/>
              </w:rPr>
              <w:t>参赛终端</w:t>
            </w:r>
          </w:p>
        </w:tc>
        <w:tc>
          <w:tcPr>
            <w:tcW w:type="dxa" w:w="370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PingFang SC" w:hAnsi="PingFang SC" w:eastAsia="PingFang SC"/>
                <w:color w:val="202124"/>
                <w:sz w:val="19"/>
              </w:rPr>
              <w:t>选手开发和比赛使用的电脑及其中的业务程序。</w:t>
            </w:r>
          </w:p>
        </w:tc>
        <w:tc>
          <w:tcPr>
            <w:tcW w:type="dxa" w:w="376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PingFang SC" w:hAnsi="PingFang SC" w:eastAsia="PingFang SC"/>
                <w:color w:val="202124"/>
                <w:sz w:val="19"/>
              </w:rPr>
              <w:t>不属于本方案新增网关设备，由甲方统筹参赛终端就位。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PingFang SC" w:hAnsi="PingFang SC" w:eastAsia="PingFang SC"/>
                <w:color w:val="202124"/>
                <w:sz w:val="19"/>
              </w:rPr>
              <w:t>场地基础条件</w:t>
            </w:r>
          </w:p>
        </w:tc>
        <w:tc>
          <w:tcPr>
            <w:tcW w:type="dxa" w:w="370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PingFang SC" w:hAnsi="PingFang SC" w:eastAsia="PingFang SC"/>
                <w:color w:val="202124"/>
                <w:sz w:val="19"/>
              </w:rPr>
              <w:t>包括中继服务器使用的稳定互联网出口、设备摆放位置、基础强电和布线施工协调。</w:t>
            </w:r>
          </w:p>
        </w:tc>
        <w:tc>
          <w:tcPr>
            <w:tcW w:type="dxa" w:w="3760"/>
            <w:tcBorders>
              <w:top w:val="single" w:sz="6" w:color="C9D3D6"/>
              <w:left w:val="single" w:sz="6" w:color="C9D3D6"/>
              <w:bottom w:val="single" w:sz="6" w:color="C9D3D6"/>
              <w:right w:val="single" w:sz="6" w:color="C9D3D6"/>
              <w:insideH w:val="single" w:sz="6" w:color="C9D3D6"/>
              <w:insideV w:val="single" w:sz="6" w:color="C9D3D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PingFang SC" w:hAnsi="PingFang SC" w:eastAsia="PingFang SC"/>
                <w:color w:val="202124"/>
                <w:sz w:val="19"/>
              </w:rPr>
              <w:t>甲方协调现场条件，我方负责网关和竞赛内网设备的安装调试。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SectionKicker"/>
      </w:pPr>
      <w:r>
        <w:rPr>
          <w:rFonts w:ascii="PingFang SC" w:hAnsi="PingFang SC" w:eastAsia="PingFang SC"/>
          <w:b/>
          <w:color w:val="26734D"/>
          <w:sz w:val="18"/>
        </w:rPr>
        <w:t>附录二 / 专业说明</w:t>
      </w:r>
    </w:p>
    <w:p>
      <w:pPr>
        <w:pStyle w:val="Heading1"/>
        <w:keepNext/>
        <w:keepLines/>
        <w:widowControl/>
      </w:pPr>
      <w:r>
        <w:t>知识库与大语言模型的关系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vAlign w:val="center"/>
            <w:shd w:fill="EAF5EF"/>
            <w:tcBorders>
              <w:top w:val="single" w:sz="5" w:color="C9D3D6"/>
              <w:left w:val="single" w:sz="5" w:color="C9D3D6"/>
              <w:bottom w:val="single" w:sz="5" w:color="C9D3D6"/>
              <w:right w:val="single" w:sz="5" w:color="C9D3D6"/>
              <w:insideH w:val="single" w:sz="5" w:color="C9D3D6"/>
              <w:insideV w:val="single" w:sz="5" w:color="C9D3D6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88" w:lineRule="auto"/>
            </w:pPr>
            <w:r>
              <w:rPr>
                <w:rFonts w:ascii="PingFang SC" w:hAnsi="PingFang SC" w:eastAsia="PingFang SC"/>
                <w:b/>
                <w:color w:val="26734D"/>
                <w:sz w:val="21"/>
              </w:rPr>
              <w:t>先说结论：</w:t>
            </w:r>
            <w:r>
              <w:rPr>
                <w:rFonts w:ascii="PingFang SC" w:hAnsi="PingFang SC" w:eastAsia="PingFang SC"/>
                <w:color w:val="202124"/>
                <w:sz w:val="21"/>
              </w:rPr>
              <w:t>选手直接调用 DeepSeek 等大语言模型可以得到回答，但模型不一定掌握比赛指定资料，回答容易产生幻觉。知识库为模型提供经过整理的指定资料，大语言模型负责理解问题、查找相关内容并组织答案，二者结合后才能更好地完成基于资料的问答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/>
      </w:pPr>
      <w:r>
        <w:rPr>
          <w:rFonts w:ascii="PingFang SC" w:hAnsi="PingFang SC" w:eastAsia="PingFang SC"/>
          <w:b/>
          <w:color w:val="2E74B5"/>
          <w:sz w:val="26"/>
        </w:rPr>
        <w:t>01  直接调用大语言模型能得到答案吗？</w:t>
      </w:r>
    </w:p>
    <w:p>
      <w:pPr>
        <w:widowControl/>
      </w:pPr>
      <w:r>
        <w:rPr>
          <w:rFonts w:ascii="PingFang SC" w:hAnsi="PingFang SC" w:eastAsia="PingFang SC"/>
        </w:rPr>
        <w:t>可以。DeepSeek 等大语言模型具备通用知识和语言理解能力，能够根据问题直接生成回答。但它的回答主要来自模型原有的训练知识，可能不了解赛题涉及的指定资料、最新文件或专业细节，也可能产生看似合理但与原文不符的幻觉。当题目要求答案必须依据指定资料时，单独询问大语言模型难以保证答案有据可查。</w:t>
      </w:r>
    </w:p>
    <w:p>
      <w:pPr>
        <w:pStyle w:val="Heading2"/>
        <w:keepNext/>
        <w:keepLines/>
        <w:widowControl/>
      </w:pPr>
      <w:r>
        <w:rPr>
          <w:rFonts w:ascii="PingFang SC" w:hAnsi="PingFang SC" w:eastAsia="PingFang SC"/>
          <w:b/>
          <w:color w:val="2E74B5"/>
          <w:sz w:val="26"/>
        </w:rPr>
        <w:t>02  知识库解决什么问题？</w:t>
      </w:r>
    </w:p>
    <w:p>
      <w:pPr>
        <w:widowControl/>
      </w:pPr>
      <w:r>
        <w:rPr>
          <w:rFonts w:ascii="PingFang SC" w:hAnsi="PingFang SC" w:eastAsia="PingFang SC"/>
        </w:rPr>
        <w:t>知识库是将规则、手册、案例和业务资料统一整理后形成的可查询资料集合。它让系统优先从指定资料中找到与问题相关的内容，使回答有明确的资料依据，并便于核对来源。</w:t>
      </w:r>
    </w:p>
    <w:p>
      <w:pPr>
        <w:pStyle w:val="Heading2"/>
        <w:keepNext/>
        <w:keepLines/>
        <w:widowControl/>
      </w:pPr>
      <w:r>
        <w:rPr>
          <w:rFonts w:ascii="PingFang SC" w:hAnsi="PingFang SC" w:eastAsia="PingFang SC"/>
          <w:b/>
          <w:color w:val="2E74B5"/>
          <w:sz w:val="26"/>
        </w:rPr>
        <w:t>03  知识库为什么还需要大语言模型？</w:t>
      </w:r>
    </w:p>
    <w:p>
      <w:pPr>
        <w:widowControl/>
      </w:pPr>
      <w:r>
        <w:rPr>
          <w:rFonts w:ascii="PingFang SC" w:hAnsi="PingFang SC" w:eastAsia="PingFang SC"/>
        </w:rPr>
        <w:t>知识库负责保存和提供资料，本身不会像人一样理解复杂问题，也不会自动归纳多份材料形成完整回答。大语言模型负责理解用户意图、从相关资料中提取要点，并将内容整理成自然、连贯的答案。</w:t>
      </w:r>
    </w:p>
    <w:p>
      <w:r>
        <w:br w:type="page"/>
      </w:r>
    </w:p>
    <w:p>
      <w:pPr>
        <w:pStyle w:val="SectionKicker"/>
      </w:pPr>
      <w:r>
        <w:rPr>
          <w:rFonts w:ascii="PingFang SC" w:hAnsi="PingFang SC" w:eastAsia="PingFang SC"/>
          <w:b/>
          <w:color w:val="26734D"/>
          <w:sz w:val="18"/>
        </w:rPr>
        <w:t>附录三 / 中继服务器定制软件开发</w:t>
      </w:r>
    </w:p>
    <w:p>
      <w:pPr>
        <w:pStyle w:val="Heading1"/>
        <w:keepNext/>
        <w:keepLines/>
        <w:widowControl/>
      </w:pPr>
      <w:r>
        <w:t>中继服务器定制软件界面</w:t>
      </w:r>
    </w:p>
    <w:p>
      <w:pPr>
        <w:widowControl/>
      </w:pPr>
      <w:r>
        <w:rPr>
          <w:rFonts w:ascii="PingFang SC" w:hAnsi="PingFang SC" w:eastAsia="PingFang SC"/>
        </w:rPr>
        <w:t>以下界面用于中继服务器上的网关服务管理，展示运行状态、模型白名单与路由配置。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 descr="ModelMux 网关总览界面，展示网关地址、运行状态与接口入口。" title="图 2  中继服务器软件：网关总览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mux-网关总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widowControl/>
      </w:pPr>
      <w:r>
        <w:t>图 2  中继服务器软件：网关总览界面</w:t>
      </w:r>
    </w:p>
    <w:p>
      <w:r>
        <w:br w:type="page"/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 descr="ModelMux 模型路由界面，展示赛事模型短名及其上游路由配置。" title="图 3  中继服务器软件：模型路由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mux-模型路由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widowControl/>
      </w:pPr>
      <w:r>
        <w:t>图 3  中继服务器软件：模型路由界面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PingFang SC" w:hAnsi="PingFang SC" w:eastAsia="PingFang SC"/>
        <w:color w:val="5F6B72"/>
        <w:sz w:val="18"/>
      </w:rPr>
      <w:t xml:space="preserve">第 </w:t>
    </w:r>
    <w:r>
      <w:rPr>
        <w:rFonts w:ascii="PingFang SC" w:hAnsi="PingFang SC" w:eastAsia="PingFang SC"/>
        <w:color w:val="5F6B72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PingFang SC" w:hAnsi="PingFang SC" w:eastAsia="PingFang SC"/>
        <w:color w:val="5F6B72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PingFang SC" w:hAnsi="PingFang SC" w:eastAsia="PingFang SC"/>
        <w:color w:val="5F6B72"/>
        <w:sz w:val="18"/>
      </w:rPr>
      <w:t>方案日期：2026 年 8 月 12 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PingFang SC" w:hAnsi="PingFang SC" w:eastAsia="PingFang SC"/>
        <w:b/>
        <w:color w:val="5F6B72"/>
        <w:sz w:val="17"/>
      </w:rPr>
      <w:t>竞赛大模型统一接入与现场保障方案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60" w:line="320" w:lineRule="auto"/>
      <w:jc w:val="both"/>
    </w:pPr>
    <w:rPr>
      <w:rFonts w:ascii="PingFang SC" w:hAnsi="PingFang SC" w:eastAsia="PingFang SC"/>
      <w:b w:val="0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 w:line="240" w:lineRule="auto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  <w:jc w:val="center"/>
    </w:pPr>
    <w:rPr>
      <w:rFonts w:asciiTheme="majorHAnsi" w:eastAsiaTheme="majorEastAsia" w:hAnsiTheme="majorHAnsi" w:cstheme="majorBidi" w:ascii="PingFang SC" w:hAnsi="PingFang SC" w:eastAsia="PingFang SC"/>
      <w:b/>
      <w:color w:val="1F4D7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80" w:line="300" w:lineRule="auto"/>
      <w:jc w:val="center"/>
    </w:pPr>
    <w:rPr>
      <w:rFonts w:asciiTheme="majorHAnsi" w:eastAsiaTheme="majorEastAsia" w:hAnsiTheme="majorHAnsi" w:cstheme="majorBidi" w:ascii="PingFang SC" w:hAnsi="PingFang SC" w:eastAsia="PingFang SC"/>
      <w:b w:val="0"/>
      <w:i/>
      <w:iCs/>
      <w:color w:val="5F6B7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100" w:after="160"/>
      <w:jc w:val="center"/>
    </w:pPr>
    <w:rPr>
      <w:rFonts w:ascii="PingFang SC" w:hAnsi="PingFang SC" w:eastAsia="PingFang SC"/>
      <w:b w:val="0"/>
      <w:bCs/>
      <w:i w:val="0"/>
      <w:color w:val="5F6B7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Kicker">
    <w:name w:val="Section Kicker"/>
    <w:pPr>
      <w:keepNext/>
      <w:spacing w:before="0" w:after="80"/>
    </w:pPr>
    <w:rPr>
      <w:rFonts w:ascii="PingFang SC" w:hAnsi="PingFang SC" w:eastAsia="PingFang SC"/>
      <w:b/>
      <w:color w:val="26734D"/>
      <w:sz w:val="18"/>
    </w:rPr>
  </w:style>
  <w:style w:type="paragraph" w:customStyle="1" w:styleId="TOCEntry">
    <w:name w:val="TOC Entry"/>
    <w:pPr>
      <w:spacing w:before="0" w:after="140" w:line="240" w:lineRule="auto"/>
    </w:pPr>
    <w:rPr>
      <w:rFonts w:ascii="PingFang SC" w:hAnsi="PingFang SC" w:eastAsia="PingFang SC"/>
      <w:b w:val="0"/>
      <w:color w:val="202124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竞赛大模型统一接入与现场保障方案</dc:title>
  <dc:subject>竞赛大模型统一接入、隔离组网与现场保障</dc:subject>
  <dc:creator/>
  <cp:keywords>大模型网关, 竞赛, 模型白名单, 隔离组网, 现场保障</cp:keywords>
  <dc:description>根据网页方案导出的可编辑 Word 版本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