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pPr>
      <w:r>
        <w:rPr>
          <w:rFonts w:ascii="Liberation Sans" w:hAnsi="Liberation Sans"/>
          <w:b/>
          <w:color w:val="B8923B"/>
          <w:sz w:val="26"/>
        </w:rPr>
        <w:t>KINGDOM</w:t>
      </w:r>
    </w:p>
    <w:p>
      <w:pPr>
        <w:spacing w:before="0" w:after="140"/>
      </w:pPr>
      <w:r>
        <w:rPr>
          <w:rFonts w:ascii="Liberation Sans" w:hAnsi="Liberation Sans"/>
          <w:b/>
          <w:color w:val="1F2328"/>
          <w:sz w:val="62"/>
        </w:rPr>
        <w:t>FAIR DEAL PROTOCOL</w:t>
      </w:r>
    </w:p>
    <w:p>
      <w:pPr>
        <w:spacing w:after="320"/>
      </w:pPr>
      <w:r>
        <w:rPr>
          <w:rFonts w:ascii="Liberation Sans" w:hAnsi="Liberation Sans"/>
          <w:b/>
          <w:color w:val="365D75"/>
          <w:sz w:val="32"/>
        </w:rPr>
        <w:t>Version 0.1</w:t>
      </w:r>
    </w:p>
    <w:tbl>
      <w:tblPr>
        <w:tblW w:type="auto" w:w="0"/>
        <w:jc w:val="center"/>
        <w:tblLayout w:type="fixed"/>
        <w:tblLook w:firstColumn="1" w:firstRow="1" w:lastColumn="0" w:lastRow="0" w:noHBand="0" w:noVBand="1" w:val="04A0"/>
      </w:tblPr>
      <w:tblGrid>
        <w:gridCol w:w="173"/>
        <w:gridCol w:w="9576"/>
      </w:tblGrid>
      <w:tr>
        <w:tc>
          <w:tcPr>
            <w:tcW w:type="dxa" w:w="173"/>
            <w:shd w:fill="B8923B"/>
            <w:vAlign w:val="center"/>
            <w:tcBorders>
              <w:top w:val="nil"/>
              <w:left w:val="nil"/>
              <w:bottom w:val="nil"/>
              <w:right w:val="nil"/>
            </w:tcBorders>
          </w:tcPr>
          <w:p/>
        </w:tc>
        <w:tc>
          <w:tcPr>
            <w:tcW w:type="dxa" w:w="9576"/>
            <w:shd w:fill="FAF8F2"/>
            <w:vAlign w:val="center"/>
            <w:tcBorders>
              <w:top w:val="nil"/>
              <w:left w:val="nil"/>
              <w:bottom w:val="nil"/>
              <w:right w:val="nil"/>
            </w:tcBorders>
          </w:tcPr>
          <w:p>
            <w:pPr>
              <w:spacing w:after="40"/>
            </w:pPr>
            <w:r>
              <w:rPr>
                <w:rFonts w:ascii="Liberation Sans" w:hAnsi="Liberation Sans"/>
                <w:b/>
                <w:color w:val="1F2328"/>
                <w:sz w:val="20"/>
              </w:rPr>
              <w:t>Core doctrine</w:t>
            </w:r>
          </w:p>
          <w:p>
            <w:pPr>
              <w:spacing w:after="0" w:line="259" w:lineRule="auto"/>
            </w:pPr>
            <w:r>
              <w:rPr>
                <w:rFonts w:ascii="Liberation Sans" w:hAnsi="Liberation Sans"/>
                <w:color w:val="1F2328"/>
                <w:sz w:val="19"/>
              </w:rPr>
              <w:t>Not everything valuable must be charged, but everything valuable should be visible.</w:t>
            </w:r>
          </w:p>
        </w:tc>
      </w:tr>
    </w:tbl>
    <w:p>
      <w:pPr>
        <w:spacing w:after="20"/>
      </w:pPr>
    </w:p>
    <w:p>
      <w:pPr>
        <w:spacing w:before="440" w:line="288" w:lineRule="auto" w:after="480"/>
      </w:pPr>
      <w:r>
        <w:rPr>
          <w:rFonts w:ascii="Liberation Sans" w:hAnsi="Liberation Sans"/>
          <w:color w:val="505861"/>
          <w:sz w:val="24"/>
        </w:rPr>
        <w:t>A non-commission, energy-first protocol for fair negotiation, transparent agreements, transaction memory, and verified benevolent contribution.</w:t>
      </w:r>
    </w:p>
    <w:p>
      <w:pPr>
        <w:spacing w:before="0" w:after="40" w:line="259" w:lineRule="auto"/>
      </w:pPr>
      <w:r>
        <w:rPr>
          <w:rFonts w:ascii="Liberation Sans" w:hAnsi="Liberation Sans"/>
          <w:b/>
          <w:color w:val="505861"/>
          <w:sz w:val="19"/>
        </w:rPr>
        <w:t xml:space="preserve">Project: </w:t>
      </w:r>
      <w:r>
        <w:rPr>
          <w:rFonts w:ascii="Liberation Sans" w:hAnsi="Liberation Sans"/>
          <w:color w:val="1F2328"/>
          <w:sz w:val="19"/>
        </w:rPr>
        <w:t>STVcentral’s Kingdom Infrastructure</w:t>
      </w:r>
    </w:p>
    <w:p>
      <w:pPr>
        <w:spacing w:before="0" w:after="40" w:line="259" w:lineRule="auto"/>
      </w:pPr>
      <w:r>
        <w:rPr>
          <w:rFonts w:ascii="Liberation Sans" w:hAnsi="Liberation Sans"/>
          <w:b/>
          <w:color w:val="505861"/>
          <w:sz w:val="19"/>
        </w:rPr>
        <w:t xml:space="preserve">Status: </w:t>
      </w:r>
      <w:r>
        <w:rPr>
          <w:rFonts w:ascii="Liberation Sans" w:hAnsi="Liberation Sans"/>
          <w:color w:val="1F2328"/>
          <w:sz w:val="19"/>
        </w:rPr>
        <w:t>Working constitutional specification — settled decisions plus implementation blueprint</w:t>
      </w:r>
    </w:p>
    <w:p>
      <w:pPr>
        <w:spacing w:before="0" w:after="40" w:line="259" w:lineRule="auto"/>
      </w:pPr>
      <w:r>
        <w:rPr>
          <w:rFonts w:ascii="Liberation Sans" w:hAnsi="Liberation Sans"/>
          <w:b/>
          <w:color w:val="505861"/>
          <w:sz w:val="19"/>
        </w:rPr>
        <w:t xml:space="preserve">Date: </w:t>
      </w:r>
      <w:r>
        <w:rPr>
          <w:rFonts w:ascii="Liberation Sans" w:hAnsi="Liberation Sans"/>
          <w:color w:val="1F2328"/>
          <w:sz w:val="19"/>
        </w:rPr>
        <w:t>July 14, 2026</w:t>
      </w:r>
    </w:p>
    <w:p>
      <w:pPr>
        <w:spacing w:before="0" w:after="40" w:line="259" w:lineRule="auto"/>
      </w:pPr>
      <w:r>
        <w:rPr>
          <w:rFonts w:ascii="Liberation Sans" w:hAnsi="Liberation Sans"/>
          <w:b/>
          <w:color w:val="505861"/>
          <w:sz w:val="19"/>
        </w:rPr>
        <w:t xml:space="preserve">Current human coefficient: </w:t>
      </w:r>
      <w:r>
        <w:rPr>
          <w:rFonts w:ascii="Liberation Sans" w:hAnsi="Liberation Sans"/>
          <w:color w:val="1F2328"/>
          <w:sz w:val="19"/>
        </w:rPr>
        <w:t>H_i = 625 (unchanged)</w:t>
      </w:r>
    </w:p>
    <w:p>
      <w:pPr>
        <w:spacing w:before="1100"/>
      </w:pPr>
      <w:r>
        <w:rPr>
          <w:rFonts w:ascii="Liberation Sans" w:hAnsi="Liberation Sans"/>
          <w:b/>
          <w:color w:val="B8923B"/>
          <w:sz w:val="20"/>
        </w:rPr>
        <w:t>Purpose of this document</w:t>
      </w:r>
    </w:p>
    <w:p>
      <w:pPr>
        <w:spacing w:line="274" w:lineRule="auto"/>
      </w:pPr>
      <w:r>
        <w:rPr>
          <w:rFonts w:ascii="Liberation Sans" w:hAnsi="Liberation Sans"/>
          <w:color w:val="1F2328"/>
          <w:sz w:val="20"/>
        </w:rPr>
        <w:t>To convert the day’s conceptual decisions into a stable, auditable foundation that can guide the calculator, the AI negotiation layer, the ledger, reputation, and a future MVP.</w:t>
      </w:r>
    </w:p>
    <w:p>
      <w:r>
        <w:br w:type="page"/>
      </w:r>
    </w:p>
    <w:p>
      <w:pPr>
        <w:spacing w:before="0" w:after="60" w:line="259" w:lineRule="auto"/>
        <w:jc w:val="left"/>
      </w:pPr>
      <w:r>
        <w:rPr>
          <w:rFonts w:ascii="Liberation Sans" w:hAnsi="Liberation Sans"/>
          <w:b/>
          <w:color w:val="B8923B"/>
          <w:sz w:val="17"/>
        </w:rPr>
        <w:t>NAVIGATION</w:t>
      </w:r>
    </w:p>
    <w:p>
      <w:pPr>
        <w:pStyle w:val="Heading1"/>
        <w:keepNext/>
        <w:spacing w:before="200" w:after="140"/>
        <w:pBdr>
          <w:bottom w:val="single" w:sz="10" w:space="4" w:color="B8923B"/>
        </w:pBdr>
      </w:pPr>
      <w:r>
        <w:rPr>
          <w:rFonts w:ascii="Liberation Sans" w:hAnsi="Liberation Sans"/>
          <w:b/>
          <w:color w:val="1F2328"/>
          <w:sz w:val="34"/>
        </w:rPr>
        <w:t>Contents</w:t>
      </w:r>
    </w:p>
    <w:tbl>
      <w:tblPr>
        <w:tblW w:type="auto" w:w="0"/>
        <w:jc w:val="center"/>
        <w:tblLayout w:type="fixed"/>
        <w:tblLook w:firstColumn="1" w:firstRow="1" w:lastColumn="0" w:lastRow="0" w:noHBand="0" w:noVBand="1" w:val="04A0"/>
      </w:tblPr>
      <w:tblGrid>
        <w:gridCol w:w="4997"/>
        <w:gridCol w:w="4997"/>
      </w:tblGrid>
      <w:tr>
        <w:trPr>
          <w:tblHeader w:val="true"/>
          <w:cantSplit w:val="true"/>
        </w:trPr>
        <w:tc>
          <w:tcPr>
            <w:tcW w:type="dxa" w:w="1008"/>
            <w:shd w:fill="365D75"/>
            <w:vAlign w:val="center"/>
            <w:tcBorders>
              <w:top w:val="single" w:sz="4" w:color="FFFFFF"/>
              <w:left w:val="single" w:sz="4" w:color="FFFFFF"/>
              <w:bottom w:val="single" w:sz="4" w:color="FFFFFF"/>
              <w:right w:val="single" w:sz="4" w:color="FFFFFF"/>
            </w:tcBorders>
          </w:tcPr>
          <w:p>
            <w:pPr>
              <w:spacing w:after="0"/>
              <w:jc w:val="left"/>
            </w:pPr>
            <w:r>
              <w:rPr>
                <w:rFonts w:ascii="Liberation Sans" w:hAnsi="Liberation Sans"/>
                <w:b/>
                <w:color w:val="FFFFFF"/>
                <w:sz w:val="17"/>
              </w:rPr>
              <w:t>Section</w:t>
            </w:r>
          </w:p>
        </w:tc>
        <w:tc>
          <w:tcPr>
            <w:tcW w:type="dxa" w:w="8496"/>
            <w:shd w:fill="365D75"/>
            <w:vAlign w:val="center"/>
            <w:tcBorders>
              <w:top w:val="single" w:sz="4" w:color="FFFFFF"/>
              <w:left w:val="single" w:sz="4" w:color="FFFFFF"/>
              <w:bottom w:val="single" w:sz="4" w:color="FFFFFF"/>
              <w:right w:val="single" w:sz="4" w:color="FFFFFF"/>
            </w:tcBorders>
          </w:tcPr>
          <w:p>
            <w:pPr>
              <w:spacing w:after="0"/>
              <w:jc w:val="left"/>
            </w:pPr>
            <w:r>
              <w:rPr>
                <w:rFonts w:ascii="Liberation Sans" w:hAnsi="Liberation Sans"/>
                <w:b/>
                <w:color w:val="FFFFFF"/>
                <w:sz w:val="17"/>
              </w:rPr>
              <w:t>Subject</w:t>
            </w:r>
          </w:p>
        </w:tc>
      </w:tr>
      <w:tr>
        <w:trPr>
          <w:cantSplit w:val="true"/>
        </w:trPr>
        <w:tc>
          <w:tcPr>
            <w:tcW w:type="dxa" w:w="1008"/>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1</w:t>
            </w:r>
          </w:p>
        </w:tc>
        <w:tc>
          <w:tcPr>
            <w:tcW w:type="dxa" w:w="8496"/>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Protocol in one page</w:t>
            </w:r>
          </w:p>
        </w:tc>
      </w:tr>
      <w:tr>
        <w:trPr>
          <w:cantSplit w:val="true"/>
        </w:trPr>
        <w:tc>
          <w:tcPr>
            <w:tcW w:type="dxa" w:w="1008"/>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2</w:t>
            </w:r>
          </w:p>
        </w:tc>
        <w:tc>
          <w:tcPr>
            <w:tcW w:type="dxa" w:w="8496"/>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Constitutional principles</w:t>
            </w:r>
          </w:p>
        </w:tc>
      </w:tr>
      <w:tr>
        <w:trPr>
          <w:cantSplit w:val="true"/>
        </w:trPr>
        <w:tc>
          <w:tcPr>
            <w:tcW w:type="dxa" w:w="1008"/>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3</w:t>
            </w:r>
          </w:p>
        </w:tc>
        <w:tc>
          <w:tcPr>
            <w:tcW w:type="dxa" w:w="8496"/>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System architecture</w:t>
            </w:r>
          </w:p>
        </w:tc>
      </w:tr>
      <w:tr>
        <w:trPr>
          <w:cantSplit w:val="true"/>
        </w:trPr>
        <w:tc>
          <w:tcPr>
            <w:tcW w:type="dxa" w:w="1008"/>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4</w:t>
            </w:r>
          </w:p>
        </w:tc>
        <w:tc>
          <w:tcPr>
            <w:tcW w:type="dxa" w:w="8496"/>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Energy-first value model</w:t>
            </w:r>
          </w:p>
        </w:tc>
      </w:tr>
      <w:tr>
        <w:trPr>
          <w:cantSplit w:val="true"/>
        </w:trPr>
        <w:tc>
          <w:tcPr>
            <w:tcW w:type="dxa" w:w="1008"/>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5</w:t>
            </w:r>
          </w:p>
        </w:tc>
        <w:tc>
          <w:tcPr>
            <w:tcW w:type="dxa" w:w="8496"/>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Invoice mode and full-value mode</w:t>
            </w:r>
          </w:p>
        </w:tc>
      </w:tr>
      <w:tr>
        <w:trPr>
          <w:cantSplit w:val="true"/>
        </w:trPr>
        <w:tc>
          <w:tcPr>
            <w:tcW w:type="dxa" w:w="1008"/>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6</w:t>
            </w:r>
          </w:p>
        </w:tc>
        <w:tc>
          <w:tcPr>
            <w:tcW w:type="dxa" w:w="8496"/>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Transaction lifecycle and ledger</w:t>
            </w:r>
          </w:p>
        </w:tc>
      </w:tr>
      <w:tr>
        <w:trPr>
          <w:cantSplit w:val="true"/>
        </w:trPr>
        <w:tc>
          <w:tcPr>
            <w:tcW w:type="dxa" w:w="1008"/>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7</w:t>
            </w:r>
          </w:p>
        </w:tc>
        <w:tc>
          <w:tcPr>
            <w:tcW w:type="dxa" w:w="8496"/>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Benevolent contribution</w:t>
            </w:r>
          </w:p>
        </w:tc>
      </w:tr>
      <w:tr>
        <w:trPr>
          <w:cantSplit w:val="true"/>
        </w:trPr>
        <w:tc>
          <w:tcPr>
            <w:tcW w:type="dxa" w:w="1008"/>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8</w:t>
            </w:r>
          </w:p>
        </w:tc>
        <w:tc>
          <w:tcPr>
            <w:tcW w:type="dxa" w:w="8496"/>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Reputation without ratings</w:t>
            </w:r>
          </w:p>
        </w:tc>
      </w:tr>
      <w:tr>
        <w:trPr>
          <w:cantSplit w:val="true"/>
        </w:trPr>
        <w:tc>
          <w:tcPr>
            <w:tcW w:type="dxa" w:w="1008"/>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9</w:t>
            </w:r>
          </w:p>
        </w:tc>
        <w:tc>
          <w:tcPr>
            <w:tcW w:type="dxa" w:w="8496"/>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Fair-AI negotiation room</w:t>
            </w:r>
          </w:p>
        </w:tc>
      </w:tr>
      <w:tr>
        <w:trPr>
          <w:cantSplit w:val="true"/>
        </w:trPr>
        <w:tc>
          <w:tcPr>
            <w:tcW w:type="dxa" w:w="1008"/>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10</w:t>
            </w:r>
          </w:p>
        </w:tc>
        <w:tc>
          <w:tcPr>
            <w:tcW w:type="dxa" w:w="8496"/>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Band-show worked example</w:t>
            </w:r>
          </w:p>
        </w:tc>
      </w:tr>
      <w:tr>
        <w:trPr>
          <w:cantSplit w:val="true"/>
        </w:trPr>
        <w:tc>
          <w:tcPr>
            <w:tcW w:type="dxa" w:w="1008"/>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11</w:t>
            </w:r>
          </w:p>
        </w:tc>
        <w:tc>
          <w:tcPr>
            <w:tcW w:type="dxa" w:w="8496"/>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MVP scope and build sequence</w:t>
            </w:r>
          </w:p>
        </w:tc>
      </w:tr>
      <w:tr>
        <w:trPr>
          <w:cantSplit w:val="true"/>
        </w:trPr>
        <w:tc>
          <w:tcPr>
            <w:tcW w:type="dxa" w:w="1008"/>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12</w:t>
            </w:r>
          </w:p>
        </w:tc>
        <w:tc>
          <w:tcPr>
            <w:tcW w:type="dxa" w:w="8496"/>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Core data model</w:t>
            </w:r>
          </w:p>
        </w:tc>
      </w:tr>
      <w:tr>
        <w:trPr>
          <w:cantSplit w:val="true"/>
        </w:trPr>
        <w:tc>
          <w:tcPr>
            <w:tcW w:type="dxa" w:w="1008"/>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13</w:t>
            </w:r>
          </w:p>
        </w:tc>
        <w:tc>
          <w:tcPr>
            <w:tcW w:type="dxa" w:w="8496"/>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Safeguards and non-goals</w:t>
            </w:r>
          </w:p>
        </w:tc>
      </w:tr>
      <w:tr>
        <w:trPr>
          <w:cantSplit w:val="true"/>
        </w:trPr>
        <w:tc>
          <w:tcPr>
            <w:tcW w:type="dxa" w:w="1008"/>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14</w:t>
            </w:r>
          </w:p>
        </w:tc>
        <w:tc>
          <w:tcPr>
            <w:tcW w:type="dxa" w:w="8496"/>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Settled decisions and open questions</w:t>
            </w:r>
          </w:p>
        </w:tc>
      </w:tr>
      <w:tr>
        <w:trPr>
          <w:cantSplit w:val="true"/>
        </w:trPr>
        <w:tc>
          <w:tcPr>
            <w:tcW w:type="dxa" w:w="1008"/>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15</w:t>
            </w:r>
          </w:p>
        </w:tc>
        <w:tc>
          <w:tcPr>
            <w:tcW w:type="dxa" w:w="8496"/>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Implementation handoff</w:t>
            </w:r>
          </w:p>
        </w:tc>
      </w:tr>
    </w:tbl>
    <w:p>
      <w:pPr>
        <w:spacing w:after="20"/>
      </w:pPr>
    </w:p>
    <w:tbl>
      <w:tblPr>
        <w:tblW w:type="auto" w:w="0"/>
        <w:jc w:val="center"/>
        <w:tblLayout w:type="fixed"/>
        <w:tblLook w:firstColumn="1" w:firstRow="1" w:lastColumn="0" w:lastRow="0" w:noHBand="0" w:noVBand="1" w:val="04A0"/>
      </w:tblPr>
      <w:tblGrid>
        <w:gridCol w:w="173"/>
        <w:gridCol w:w="9576"/>
      </w:tblGrid>
      <w:tr>
        <w:tc>
          <w:tcPr>
            <w:tcW w:type="dxa" w:w="173"/>
            <w:shd w:fill="365D75"/>
            <w:vAlign w:val="center"/>
            <w:tcBorders>
              <w:top w:val="nil"/>
              <w:left w:val="nil"/>
              <w:bottom w:val="nil"/>
              <w:right w:val="nil"/>
            </w:tcBorders>
          </w:tcPr>
          <w:p/>
        </w:tc>
        <w:tc>
          <w:tcPr>
            <w:tcW w:type="dxa" w:w="9576"/>
            <w:shd w:fill="FAF8F2"/>
            <w:vAlign w:val="center"/>
            <w:tcBorders>
              <w:top w:val="nil"/>
              <w:left w:val="nil"/>
              <w:bottom w:val="nil"/>
              <w:right w:val="nil"/>
            </w:tcBorders>
          </w:tcPr>
          <w:p>
            <w:pPr>
              <w:spacing w:after="40"/>
            </w:pPr>
            <w:r>
              <w:rPr>
                <w:rFonts w:ascii="Liberation Sans" w:hAnsi="Liberation Sans"/>
                <w:b/>
                <w:color w:val="1F2328"/>
                <w:sz w:val="20"/>
              </w:rPr>
              <w:t>Interpretation rule</w:t>
            </w:r>
          </w:p>
          <w:p>
            <w:pPr>
              <w:spacing w:after="0" w:line="259" w:lineRule="auto"/>
            </w:pPr>
            <w:r>
              <w:rPr>
                <w:rFonts w:ascii="Liberation Sans" w:hAnsi="Liberation Sans"/>
                <w:color w:val="1F2328"/>
                <w:sz w:val="19"/>
              </w:rPr>
              <w:t>This document distinguishes settled rules from proposals. “Settled” means accepted in the design discussion. “Open” means intentionally left for later validation.</w:t>
            </w:r>
          </w:p>
        </w:tc>
      </w:tr>
    </w:tbl>
    <w:p>
      <w:pPr>
        <w:spacing w:after="20"/>
      </w:pPr>
    </w:p>
    <w:p>
      <w:r>
        <w:br w:type="page"/>
      </w:r>
    </w:p>
    <w:p>
      <w:pPr>
        <w:spacing w:before="0" w:after="60" w:line="259" w:lineRule="auto"/>
        <w:jc w:val="left"/>
      </w:pPr>
      <w:r>
        <w:rPr>
          <w:rFonts w:ascii="Liberation Sans" w:hAnsi="Liberation Sans"/>
          <w:b/>
          <w:color w:val="B8923B"/>
          <w:sz w:val="17"/>
        </w:rPr>
        <w:t>EXECUTIVE VIEW</w:t>
      </w:r>
    </w:p>
    <w:p>
      <w:pPr>
        <w:pStyle w:val="Heading1"/>
        <w:keepNext/>
        <w:spacing w:before="200" w:after="140"/>
        <w:pBdr>
          <w:bottom w:val="single" w:sz="10" w:space="4" w:color="B8923B"/>
        </w:pBdr>
      </w:pPr>
      <w:r>
        <w:rPr>
          <w:rFonts w:ascii="Liberation Sans" w:hAnsi="Liberation Sans"/>
          <w:b/>
          <w:color w:val="1F2328"/>
          <w:sz w:val="34"/>
        </w:rPr>
        <w:t>1. Protocol in one page</w:t>
      </w:r>
    </w:p>
    <w:p>
      <w:pPr>
        <w:spacing w:before="0" w:after="120" w:line="269" w:lineRule="auto"/>
      </w:pPr>
      <w:r>
        <w:rPr>
          <w:rFonts w:ascii="Liberation Sans" w:hAnsi="Liberation Sans"/>
          <w:i w:val="0"/>
          <w:color w:val="1F2328"/>
          <w:sz w:val="20"/>
        </w:rPr>
        <w:t>Kingdom Infrastructure is a non-commission transaction and negotiation system that helps people recognize, discuss, and exchange visible and unseen value fairly. Its public interface is conversational AI; its mathematical foundation is the auditable KingdomWatt engine.</w:t>
      </w:r>
    </w:p>
    <w:p>
      <w:pPr>
        <w:spacing w:before="0" w:after="120" w:line="269" w:lineRule="auto"/>
      </w:pPr>
      <w:r>
        <w:rPr>
          <w:rFonts w:ascii="Liberation Sans" w:hAnsi="Liberation Sans"/>
          <w:i w:val="0"/>
          <w:color w:val="1F2328"/>
          <w:sz w:val="20"/>
        </w:rPr>
        <w:t>The platform helps parties form a deal, records what they agreed to, and remembers how the transaction ended. It does not enforce the deal, judge guilt, or become a private court.</w:t>
      </w:r>
    </w:p>
    <w:p>
      <w:pPr>
        <w:pStyle w:val="Heading2"/>
        <w:keepNext/>
        <w:spacing w:before="160" w:after="80"/>
      </w:pPr>
      <w:r>
        <w:rPr>
          <w:rFonts w:ascii="Liberation Sans" w:hAnsi="Liberation Sans"/>
          <w:b/>
          <w:color w:val="365D75"/>
          <w:sz w:val="25"/>
        </w:rPr>
        <w:t>The three layers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2088"/>
            <w:shd w:fill="1F2328"/>
            <w:vAlign w:val="center"/>
            <w:tcBorders>
              <w:top w:val="single" w:sz="4" w:color="FFFFFF"/>
              <w:left w:val="single" w:sz="4" w:color="FFFFFF"/>
              <w:bottom w:val="single" w:sz="4" w:color="FFFFFF"/>
              <w:right w:val="single" w:sz="4" w:color="FFFFFF"/>
            </w:tcBorders>
          </w:tcPr>
          <w:p>
            <w:pPr>
              <w:spacing w:after="0"/>
              <w:jc w:val="left"/>
            </w:pPr>
            <w:r>
              <w:rPr>
                <w:rFonts w:ascii="Liberation Sans" w:hAnsi="Liberation Sans"/>
                <w:b/>
                <w:color w:val="FFFFFF"/>
                <w:sz w:val="17"/>
              </w:rPr>
              <w:t>Layer</w:t>
            </w:r>
          </w:p>
        </w:tc>
        <w:tc>
          <w:tcPr>
            <w:tcW w:type="dxa" w:w="4392"/>
            <w:shd w:fill="1F2328"/>
            <w:vAlign w:val="center"/>
            <w:tcBorders>
              <w:top w:val="single" w:sz="4" w:color="FFFFFF"/>
              <w:left w:val="single" w:sz="4" w:color="FFFFFF"/>
              <w:bottom w:val="single" w:sz="4" w:color="FFFFFF"/>
              <w:right w:val="single" w:sz="4" w:color="FFFFFF"/>
            </w:tcBorders>
          </w:tcPr>
          <w:p>
            <w:pPr>
              <w:spacing w:after="0"/>
              <w:jc w:val="left"/>
            </w:pPr>
            <w:r>
              <w:rPr>
                <w:rFonts w:ascii="Liberation Sans" w:hAnsi="Liberation Sans"/>
                <w:b/>
                <w:color w:val="FFFFFF"/>
                <w:sz w:val="17"/>
              </w:rPr>
              <w:t>Purpose</w:t>
            </w:r>
          </w:p>
        </w:tc>
        <w:tc>
          <w:tcPr>
            <w:tcW w:type="dxa" w:w="3096"/>
            <w:shd w:fill="1F2328"/>
            <w:vAlign w:val="center"/>
            <w:tcBorders>
              <w:top w:val="single" w:sz="4" w:color="FFFFFF"/>
              <w:left w:val="single" w:sz="4" w:color="FFFFFF"/>
              <w:bottom w:val="single" w:sz="4" w:color="FFFFFF"/>
              <w:right w:val="single" w:sz="4" w:color="FFFFFF"/>
            </w:tcBorders>
          </w:tcPr>
          <w:p>
            <w:pPr>
              <w:spacing w:after="0"/>
              <w:jc w:val="left"/>
            </w:pPr>
            <w:r>
              <w:rPr>
                <w:rFonts w:ascii="Liberation Sans" w:hAnsi="Liberation Sans"/>
                <w:b/>
                <w:color w:val="FFFFFF"/>
                <w:sz w:val="17"/>
              </w:rPr>
              <w:t>Primary output</w:t>
            </w:r>
          </w:p>
        </w:tc>
      </w:tr>
      <w:tr>
        <w:trPr>
          <w:cantSplit w:val="true"/>
        </w:trPr>
        <w:tc>
          <w:tcPr>
            <w:tcW w:type="dxa" w:w="2088"/>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KingdomWatt kernel</w:t>
            </w:r>
          </w:p>
        </w:tc>
        <w:tc>
          <w:tcPr>
            <w:tcW w:type="dxa" w:w="4392"/>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Deterministic energy-based measurement and presets.</w:t>
            </w:r>
          </w:p>
        </w:tc>
        <w:tc>
          <w:tcPr>
            <w:tcW w:type="dxa" w:w="3096"/>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Auditable values, assumptions, confidence, and allocation.</w:t>
            </w:r>
          </w:p>
        </w:tc>
      </w:tr>
      <w:tr>
        <w:trPr>
          <w:cantSplit w:val="true"/>
        </w:trPr>
        <w:tc>
          <w:tcPr>
            <w:tcW w:type="dxa" w:w="2088"/>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Fair-AI negotiation</w:t>
            </w:r>
          </w:p>
        </w:tc>
        <w:tc>
          <w:tcPr>
            <w:tcW w:type="dxa" w:w="4392"/>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Private advocates plus a neutral mediator.</w:t>
            </w:r>
          </w:p>
        </w:tc>
        <w:tc>
          <w:tcPr>
            <w:tcW w:type="dxa" w:w="3096"/>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Mutually intelligible deal options and a consent-ready agreement.</w:t>
            </w:r>
          </w:p>
        </w:tc>
      </w:tr>
      <w:tr>
        <w:trPr>
          <w:cantSplit w:val="true"/>
        </w:trPr>
        <w:tc>
          <w:tcPr>
            <w:tcW w:type="dxa" w:w="2088"/>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Ledger and reputation</w:t>
            </w:r>
          </w:p>
        </w:tc>
        <w:tc>
          <w:tcPr>
            <w:tcW w:type="dxa" w:w="4392"/>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Records agreed terms and transaction outcomes.</w:t>
            </w:r>
          </w:p>
        </w:tc>
        <w:tc>
          <w:tcPr>
            <w:tcW w:type="dxa" w:w="3096"/>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Transaction history, benevolent contribution, and unhappy-transaction context.</w:t>
            </w:r>
          </w:p>
        </w:tc>
      </w:tr>
    </w:tbl>
    <w:p>
      <w:pPr>
        <w:spacing w:after="20"/>
      </w:pPr>
    </w:p>
    <w:p>
      <w:pPr>
        <w:pStyle w:val="Heading2"/>
        <w:keepNext/>
        <w:spacing w:before="160" w:after="80"/>
      </w:pPr>
      <w:r>
        <w:rPr>
          <w:rFonts w:ascii="Liberation Sans" w:hAnsi="Liberation Sans"/>
          <w:b/>
          <w:color w:val="365D75"/>
          <w:sz w:val="25"/>
        </w:rPr>
        <w:t>The decisive distinctions</w:t>
      </w:r>
    </w:p>
    <w:tbl>
      <w:tblPr>
        <w:tblW w:type="auto" w:w="0"/>
        <w:jc w:val="center"/>
        <w:tblLayout w:type="fixed"/>
        <w:tblLook w:firstColumn="1" w:firstRow="1" w:lastColumn="0" w:lastRow="0" w:noHBand="0" w:noVBand="1" w:val="04A0"/>
      </w:tblPr>
      <w:tblGrid>
        <w:gridCol w:w="9994"/>
      </w:tblGrid>
      <w:tr>
        <w:tc>
          <w:tcPr>
            <w:tcW w:type="dxa" w:w="9216"/>
            <w:shd w:fill="F3F0E8"/>
            <w:tcBorders>
              <w:top w:val="single" w:sz="8" w:color="B8923B"/>
              <w:left w:val="single" w:sz="8" w:color="B8923B"/>
              <w:bottom w:val="single" w:sz="8" w:color="B8923B"/>
              <w:right w:val="single" w:sz="8" w:color="B8923B"/>
            </w:tcBorders>
          </w:tcPr>
          <w:p>
            <w:pPr>
              <w:jc w:val="center"/>
            </w:pPr>
            <w:r>
              <w:rPr>
                <w:rFonts w:ascii="Liberation Serif" w:hAnsi="Liberation Serif"/>
                <w:b/>
                <w:color w:val="1F2328"/>
                <w:sz w:val="26"/>
              </w:rPr>
              <w:t>Benevolent contribution = agreed full value − agreed settlement</w:t>
            </w:r>
          </w:p>
          <w:p>
            <w:pPr>
              <w:jc w:val="center"/>
            </w:pPr>
            <w:r>
              <w:rPr>
                <w:rFonts w:ascii="Liberation Sans" w:hAnsi="Liberation Sans"/>
                <w:i/>
                <w:color w:val="505861"/>
                <w:sz w:val="17"/>
              </w:rPr>
              <w:t>The value knowingly released without equivalent settlement.</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216"/>
            <w:shd w:fill="F3F0E8"/>
            <w:tcBorders>
              <w:top w:val="single" w:sz="8" w:color="B8923B"/>
              <w:left w:val="single" w:sz="8" w:color="B8923B"/>
              <w:bottom w:val="single" w:sz="8" w:color="B8923B"/>
              <w:right w:val="single" w:sz="8" w:color="B8923B"/>
            </w:tcBorders>
          </w:tcPr>
          <w:p>
            <w:pPr>
              <w:jc w:val="center"/>
            </w:pPr>
            <w:r>
              <w:rPr>
                <w:rFonts w:ascii="Liberation Serif" w:hAnsi="Liberation Serif"/>
                <w:b/>
                <w:color w:val="1F2328"/>
                <w:sz w:val="26"/>
              </w:rPr>
              <w:t>Unfulfilled obligation = agreed settlement − delivered settlement</w:t>
            </w:r>
          </w:p>
          <w:p>
            <w:pPr>
              <w:jc w:val="center"/>
            </w:pPr>
            <w:r>
              <w:rPr>
                <w:rFonts w:ascii="Liberation Sans" w:hAnsi="Liberation Sans"/>
                <w:i/>
                <w:color w:val="505861"/>
                <w:sz w:val="17"/>
              </w:rPr>
              <w:t>A broken or incomplete promise; never reclassified as generosity.</w:t>
            </w:r>
          </w:p>
        </w:tc>
      </w:tr>
    </w:tbl>
    <w:p>
      <w:pPr>
        <w:spacing w:after="0"/>
      </w:pPr>
    </w:p>
    <w:tbl>
      <w:tblPr>
        <w:tblW w:type="auto" w:w="0"/>
        <w:jc w:val="center"/>
        <w:tblLayout w:type="fixed"/>
        <w:tblLook w:firstColumn="1" w:firstRow="1" w:lastColumn="0" w:lastRow="0" w:noHBand="0" w:noVBand="1" w:val="04A0"/>
      </w:tblPr>
      <w:tblGrid>
        <w:gridCol w:w="173"/>
        <w:gridCol w:w="9576"/>
      </w:tblGrid>
      <w:tr>
        <w:tc>
          <w:tcPr>
            <w:tcW w:type="dxa" w:w="173"/>
            <w:shd w:fill="3E6B52"/>
            <w:vAlign w:val="center"/>
            <w:tcBorders>
              <w:top w:val="nil"/>
              <w:left w:val="nil"/>
              <w:bottom w:val="nil"/>
              <w:right w:val="nil"/>
            </w:tcBorders>
          </w:tcPr>
          <w:p/>
        </w:tc>
        <w:tc>
          <w:tcPr>
            <w:tcW w:type="dxa" w:w="9576"/>
            <w:shd w:fill="FAF8F2"/>
            <w:vAlign w:val="center"/>
            <w:tcBorders>
              <w:top w:val="nil"/>
              <w:left w:val="nil"/>
              <w:bottom w:val="nil"/>
              <w:right w:val="nil"/>
            </w:tcBorders>
          </w:tcPr>
          <w:p>
            <w:pPr>
              <w:spacing w:after="40"/>
            </w:pPr>
            <w:r>
              <w:rPr>
                <w:rFonts w:ascii="Liberation Sans" w:hAnsi="Liberation Sans"/>
                <w:b/>
                <w:color w:val="1F2328"/>
                <w:sz w:val="20"/>
              </w:rPr>
              <w:t>Energy first</w:t>
            </w:r>
          </w:p>
          <w:p>
            <w:pPr>
              <w:spacing w:after="0" w:line="259" w:lineRule="auto"/>
            </w:pPr>
            <w:r>
              <w:rPr>
                <w:rFonts w:ascii="Liberation Sans" w:hAnsi="Liberation Sans"/>
                <w:color w:val="1F2328"/>
                <w:sz w:val="19"/>
              </w:rPr>
              <w:t>Every primary number is expressed in KingdomWatts. Currency is only one possible settlement medium and may be shown through an explicit bridge; it never defines the underlying value.</w:t>
            </w:r>
          </w:p>
        </w:tc>
      </w:tr>
    </w:tbl>
    <w:p>
      <w:pPr>
        <w:spacing w:after="20"/>
      </w:pPr>
    </w:p>
    <w:p>
      <w:pPr>
        <w:pStyle w:val="Heading1"/>
        <w:keepNext/>
        <w:spacing w:before="200" w:after="140"/>
        <w:pBdr>
          <w:bottom w:val="single" w:sz="10" w:space="4" w:color="B8923B"/>
        </w:pBdr>
      </w:pPr>
      <w:r>
        <w:rPr>
          <w:rFonts w:ascii="Liberation Sans" w:hAnsi="Liberation Sans"/>
          <w:b/>
          <w:color w:val="1F2328"/>
          <w:sz w:val="34"/>
        </w:rPr>
        <w:t>2. Constitutional principles</w:t>
      </w:r>
    </w:p>
    <w:tbl>
      <w:tblPr>
        <w:tblW w:type="auto" w:w="0"/>
        <w:jc w:val="center"/>
        <w:tblLayout w:type="fixed"/>
        <w:tblLook w:firstColumn="1" w:firstRow="1" w:lastColumn="0" w:lastRow="0" w:noHBand="0" w:noVBand="1" w:val="04A0"/>
      </w:tblPr>
      <w:tblGrid>
        <w:gridCol w:w="4997"/>
        <w:gridCol w:w="4997"/>
      </w:tblGrid>
      <w:tr>
        <w:trPr>
          <w:tblHeader w:val="true"/>
          <w:cantSplit w:val="true"/>
        </w:trPr>
        <w:tc>
          <w:tcPr>
            <w:tcW w:type="dxa" w:w="2376"/>
            <w:shd w:fill="1F2328"/>
            <w:vAlign w:val="center"/>
            <w:tcBorders>
              <w:top w:val="single" w:sz="4" w:color="FFFFFF"/>
              <w:left w:val="single" w:sz="4" w:color="FFFFFF"/>
              <w:bottom w:val="single" w:sz="4" w:color="FFFFFF"/>
              <w:right w:val="single" w:sz="4" w:color="FFFFFF"/>
            </w:tcBorders>
          </w:tcPr>
          <w:p>
            <w:pPr>
              <w:spacing w:after="0"/>
              <w:jc w:val="left"/>
            </w:pPr>
            <w:r>
              <w:rPr>
                <w:rFonts w:ascii="Liberation Sans" w:hAnsi="Liberation Sans"/>
                <w:b/>
                <w:color w:val="FFFFFF"/>
                <w:sz w:val="17"/>
              </w:rPr>
              <w:t>Principle</w:t>
            </w:r>
          </w:p>
        </w:tc>
        <w:tc>
          <w:tcPr>
            <w:tcW w:type="dxa" w:w="7200"/>
            <w:shd w:fill="1F2328"/>
            <w:vAlign w:val="center"/>
            <w:tcBorders>
              <w:top w:val="single" w:sz="4" w:color="FFFFFF"/>
              <w:left w:val="single" w:sz="4" w:color="FFFFFF"/>
              <w:bottom w:val="single" w:sz="4" w:color="FFFFFF"/>
              <w:right w:val="single" w:sz="4" w:color="FFFFFF"/>
            </w:tcBorders>
          </w:tcPr>
          <w:p>
            <w:pPr>
              <w:spacing w:after="0"/>
              <w:jc w:val="left"/>
            </w:pPr>
            <w:r>
              <w:rPr>
                <w:rFonts w:ascii="Liberation Sans" w:hAnsi="Liberation Sans"/>
                <w:b/>
                <w:color w:val="FFFFFF"/>
                <w:sz w:val="17"/>
              </w:rPr>
              <w:t>Rule</w:t>
            </w:r>
          </w:p>
        </w:tc>
      </w:tr>
      <w:tr>
        <w:trPr>
          <w:cantSplit w:val="true"/>
        </w:trPr>
        <w:tc>
          <w:tcPr>
            <w:tcW w:type="dxa" w:w="2376"/>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Visibility before price</w:t>
            </w:r>
          </w:p>
        </w:tc>
        <w:tc>
          <w:tcPr>
            <w:tcW w:type="dxa" w:w="7200"/>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Not everything valuable must be charged, but everything valuable should be visible.</w:t>
            </w:r>
          </w:p>
        </w:tc>
      </w:tr>
      <w:tr>
        <w:trPr>
          <w:cantSplit w:val="true"/>
        </w:trPr>
        <w:tc>
          <w:tcPr>
            <w:tcW w:type="dxa" w:w="2376"/>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Energy before currency</w:t>
            </w:r>
          </w:p>
        </w:tc>
        <w:tc>
          <w:tcPr>
            <w:tcW w:type="dxa" w:w="7200"/>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Value is measured from human energy, presence, resources, risk, and contribution—not from the currency amount offered.</w:t>
            </w:r>
          </w:p>
        </w:tc>
      </w:tr>
      <w:tr>
        <w:trPr>
          <w:cantSplit w:val="true"/>
        </w:trPr>
        <w:tc>
          <w:tcPr>
            <w:tcW w:type="dxa" w:w="2376"/>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Price is not value</w:t>
            </w:r>
          </w:p>
        </w:tc>
        <w:tc>
          <w:tcPr>
            <w:tcW w:type="dxa" w:w="7200"/>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A CAD $200 deal may activate far more value without making the performance “worth only $200.”</w:t>
            </w:r>
          </w:p>
        </w:tc>
      </w:tr>
      <w:tr>
        <w:trPr>
          <w:cantSplit w:val="true"/>
        </w:trPr>
        <w:tc>
          <w:tcPr>
            <w:tcW w:type="dxa" w:w="2376"/>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Consent over coercion</w:t>
            </w:r>
          </w:p>
        </w:tc>
        <w:tc>
          <w:tcPr>
            <w:tcW w:type="dxa" w:w="7200"/>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The AI proposes and explains. Humans accept, reject, or revise. The platform does not bind them autonomously.</w:t>
            </w:r>
          </w:p>
        </w:tc>
      </w:tr>
      <w:tr>
        <w:trPr>
          <w:cantSplit w:val="true"/>
        </w:trPr>
        <w:tc>
          <w:tcPr>
            <w:tcW w:type="dxa" w:w="2376"/>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Record, do not enforce</w:t>
            </w:r>
          </w:p>
        </w:tc>
        <w:tc>
          <w:tcPr>
            <w:tcW w:type="dxa" w:w="7200"/>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The platform records agreements and outcomes but does not collect debts, decide guilt, or impose obedience.</w:t>
            </w:r>
          </w:p>
        </w:tc>
      </w:tr>
      <w:tr>
        <w:trPr>
          <w:cantSplit w:val="true"/>
        </w:trPr>
        <w:tc>
          <w:tcPr>
            <w:tcW w:type="dxa" w:w="2376"/>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Transaction-gated reputation</w:t>
            </w:r>
          </w:p>
        </w:tc>
        <w:tc>
          <w:tcPr>
            <w:tcW w:type="dxa" w:w="7200"/>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Only verified parties to an actual transaction may affect that transaction’s reputation record.</w:t>
            </w:r>
          </w:p>
        </w:tc>
      </w:tr>
      <w:tr>
        <w:trPr>
          <w:cantSplit w:val="true"/>
        </w:trPr>
        <w:tc>
          <w:tcPr>
            <w:tcW w:type="dxa" w:w="2376"/>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No five-star theatre</w:t>
            </w:r>
          </w:p>
        </w:tc>
        <w:tc>
          <w:tcPr>
            <w:tcW w:type="dxa" w:w="7200"/>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Reputation is factual transaction history, not popularity, fan voting, or a compressed moral score.</w:t>
            </w:r>
          </w:p>
        </w:tc>
      </w:tr>
      <w:tr>
        <w:trPr>
          <w:cantSplit w:val="true"/>
        </w:trPr>
        <w:tc>
          <w:tcPr>
            <w:tcW w:type="dxa" w:w="2376"/>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Generosity is visible</w:t>
            </w:r>
          </w:p>
        </w:tc>
        <w:tc>
          <w:tcPr>
            <w:tcW w:type="dxa" w:w="7200"/>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The agreed gap between full value and settlement is automatically recorded as benevolent contribution.</w:t>
            </w:r>
          </w:p>
        </w:tc>
      </w:tr>
      <w:tr>
        <w:trPr>
          <w:cantSplit w:val="true"/>
        </w:trPr>
        <w:tc>
          <w:tcPr>
            <w:tcW w:type="dxa" w:w="2376"/>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Broken promises stay broken</w:t>
            </w:r>
          </w:p>
        </w:tc>
        <w:tc>
          <w:tcPr>
            <w:tcW w:type="dxa" w:w="7200"/>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Undelivered agreed settlement is an unfulfilled obligation, not a retroactive contribution.</w:t>
            </w:r>
          </w:p>
        </w:tc>
      </w:tr>
      <w:tr>
        <w:trPr>
          <w:cantSplit w:val="true"/>
        </w:trPr>
        <w:tc>
          <w:tcPr>
            <w:tcW w:type="dxa" w:w="2376"/>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No commission incentive</w:t>
            </w:r>
          </w:p>
        </w:tc>
        <w:tc>
          <w:tcPr>
            <w:tcW w:type="dxa" w:w="7200"/>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The platform does not profit by taking a percentage of the value exchanged and therefore should not optimize for higher deal prices merely to increase its own revenue.</w:t>
            </w:r>
          </w:p>
        </w:tc>
      </w:tr>
      <w:tr>
        <w:trPr>
          <w:cantSplit w:val="true"/>
        </w:trPr>
        <w:tc>
          <w:tcPr>
            <w:tcW w:type="dxa" w:w="2376"/>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Auditability</w:t>
            </w:r>
          </w:p>
        </w:tc>
        <w:tc>
          <w:tcPr>
            <w:tcW w:type="dxa" w:w="7200"/>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Formulas, presets, assumptions, allocations, and confidence must be explainable and reviewable.</w:t>
            </w:r>
          </w:p>
        </w:tc>
      </w:tr>
      <w:tr>
        <w:trPr>
          <w:cantSplit w:val="true"/>
        </w:trPr>
        <w:tc>
          <w:tcPr>
            <w:tcW w:type="dxa" w:w="2376"/>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Currency creation tabled</w:t>
            </w:r>
          </w:p>
        </w:tc>
        <w:tc>
          <w:tcPr>
            <w:tcW w:type="dxa" w:w="7200"/>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Benevolent contribution is non-spendable recognition. It does not mint KW₭ or automatically create advertising credit.</w:t>
            </w:r>
          </w:p>
        </w:tc>
      </w:tr>
    </w:tbl>
    <w:p>
      <w:pPr>
        <w:spacing w:after="20"/>
      </w:pPr>
    </w:p>
    <w:p>
      <w:pPr>
        <w:pStyle w:val="Heading1"/>
        <w:keepNext/>
        <w:spacing w:before="200" w:after="140"/>
        <w:pBdr>
          <w:bottom w:val="single" w:sz="10" w:space="4" w:color="B8923B"/>
        </w:pBdr>
      </w:pPr>
      <w:r>
        <w:rPr>
          <w:rFonts w:ascii="Liberation Sans" w:hAnsi="Liberation Sans"/>
          <w:b/>
          <w:color w:val="1F2328"/>
          <w:sz w:val="34"/>
        </w:rPr>
        <w:t>3. System architecture</w:t>
      </w:r>
    </w:p>
    <w:p>
      <w:pPr>
        <w:pStyle w:val="Heading2"/>
        <w:keepNext/>
        <w:spacing w:before="160" w:after="80"/>
      </w:pPr>
      <w:r>
        <w:rPr>
          <w:rFonts w:ascii="Liberation Sans" w:hAnsi="Liberation Sans"/>
          <w:b/>
          <w:color w:val="365D75"/>
          <w:sz w:val="25"/>
        </w:rPr>
        <w:t>3.1 KingdomWatt kernel</w:t>
      </w:r>
    </w:p>
    <w:p>
      <w:pPr>
        <w:spacing w:before="0" w:after="120" w:line="269" w:lineRule="auto"/>
      </w:pPr>
      <w:r>
        <w:rPr>
          <w:rFonts w:ascii="Liberation Sans" w:hAnsi="Liberation Sans"/>
          <w:i w:val="0"/>
          <w:color w:val="1F2328"/>
          <w:sz w:val="20"/>
        </w:rPr>
        <w:t>The existing calculator remains the educational and audit interface. Its formulas and presets become callable services beneath the AI. The current website human coefficient stays at H_i = 625 unless a future validated decision explicitly changes it.</w:t>
      </w:r>
    </w:p>
    <w:p>
      <w:pPr>
        <w:pStyle w:val="ListBullet"/>
        <w:spacing w:before="0" w:after="60" w:line="259" w:lineRule="auto"/>
      </w:pPr>
      <w:r>
        <w:rPr>
          <w:rFonts w:ascii="Liberation Sans" w:hAnsi="Liberation Sans"/>
          <w:color w:val="1F2328"/>
          <w:sz w:val="20"/>
        </w:rPr>
        <w:t>Accept structured inputs for people, time, energy, presence, equipment, materials, travel, risk, reusable preparation, and external settlement.</w:t>
      </w:r>
    </w:p>
    <w:p>
      <w:pPr>
        <w:pStyle w:val="ListBullet"/>
        <w:spacing w:before="0" w:after="60" w:line="259" w:lineRule="auto"/>
      </w:pPr>
      <w:r>
        <w:rPr>
          <w:rFonts w:ascii="Liberation Sans" w:hAnsi="Liberation Sans"/>
          <w:color w:val="1F2328"/>
          <w:sz w:val="20"/>
        </w:rPr>
        <w:t>Return energy values in KW₭ with the contributing components visible.</w:t>
      </w:r>
    </w:p>
    <w:p>
      <w:pPr>
        <w:pStyle w:val="ListBullet"/>
        <w:spacing w:before="0" w:after="60" w:line="259" w:lineRule="auto"/>
      </w:pPr>
      <w:r>
        <w:rPr>
          <w:rFonts w:ascii="Liberation Sans" w:hAnsi="Liberation Sans"/>
          <w:color w:val="1F2328"/>
          <w:sz w:val="20"/>
        </w:rPr>
        <w:t>Preserve preset versions so later rule changes do not rewrite historical agreements.</w:t>
      </w:r>
    </w:p>
    <w:p>
      <w:pPr>
        <w:pStyle w:val="ListBullet"/>
        <w:spacing w:before="0" w:after="60" w:line="259" w:lineRule="auto"/>
      </w:pPr>
      <w:r>
        <w:rPr>
          <w:rFonts w:ascii="Liberation Sans" w:hAnsi="Liberation Sans"/>
          <w:color w:val="1F2328"/>
          <w:sz w:val="20"/>
        </w:rPr>
        <w:t>Distinguish direct delivered value, reusable value activated, transaction expenses, and embedded capacity.</w:t>
      </w:r>
    </w:p>
    <w:p>
      <w:pPr>
        <w:pStyle w:val="ListBullet"/>
        <w:spacing w:before="0" w:after="60" w:line="259" w:lineRule="auto"/>
      </w:pPr>
      <w:r>
        <w:rPr>
          <w:rFonts w:ascii="Liberation Sans" w:hAnsi="Liberation Sans"/>
          <w:color w:val="1F2328"/>
          <w:sz w:val="20"/>
        </w:rPr>
        <w:t>Never allow a language model to silently replace deterministic calculations.</w:t>
      </w:r>
    </w:p>
    <w:p>
      <w:pPr>
        <w:pStyle w:val="Heading2"/>
        <w:keepNext/>
        <w:spacing w:before="160" w:after="80"/>
      </w:pPr>
      <w:r>
        <w:rPr>
          <w:rFonts w:ascii="Liberation Sans" w:hAnsi="Liberation Sans"/>
          <w:b/>
          <w:color w:val="365D75"/>
          <w:sz w:val="25"/>
        </w:rPr>
        <w:t>3.2 Fair-AI layer</w:t>
      </w:r>
    </w:p>
    <w:p>
      <w:pPr>
        <w:spacing w:before="0" w:after="120" w:line="269" w:lineRule="auto"/>
      </w:pPr>
      <w:r>
        <w:rPr>
          <w:rFonts w:ascii="Liberation Sans" w:hAnsi="Liberation Sans"/>
          <w:i w:val="0"/>
          <w:color w:val="1F2328"/>
          <w:sz w:val="20"/>
        </w:rPr>
        <w:t>The public user should not have to understand coefficients. They describe the exchange in ordinary language. The AI asks only the missing questions, maps the answers to the kernel, and explains the result.</w:t>
      </w:r>
    </w:p>
    <w:tbl>
      <w:tblPr>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1944"/>
            <w:shd w:fill="1F2328"/>
            <w:vAlign w:val="center"/>
            <w:tcBorders>
              <w:top w:val="single" w:sz="4" w:color="FFFFFF"/>
              <w:left w:val="single" w:sz="4" w:color="FFFFFF"/>
              <w:bottom w:val="single" w:sz="4" w:color="FFFFFF"/>
              <w:right w:val="single" w:sz="4" w:color="FFFFFF"/>
            </w:tcBorders>
          </w:tcPr>
          <w:p>
            <w:pPr>
              <w:spacing w:after="0"/>
              <w:jc w:val="left"/>
            </w:pPr>
            <w:r>
              <w:rPr>
                <w:rFonts w:ascii="Liberation Sans" w:hAnsi="Liberation Sans"/>
                <w:b/>
                <w:color w:val="FFFFFF"/>
                <w:sz w:val="17"/>
              </w:rPr>
              <w:t>Agent</w:t>
            </w:r>
          </w:p>
        </w:tc>
        <w:tc>
          <w:tcPr>
            <w:tcW w:type="dxa" w:w="4680"/>
            <w:shd w:fill="1F2328"/>
            <w:vAlign w:val="center"/>
            <w:tcBorders>
              <w:top w:val="single" w:sz="4" w:color="FFFFFF"/>
              <w:left w:val="single" w:sz="4" w:color="FFFFFF"/>
              <w:bottom w:val="single" w:sz="4" w:color="FFFFFF"/>
              <w:right w:val="single" w:sz="4" w:color="FFFFFF"/>
            </w:tcBorders>
          </w:tcPr>
          <w:p>
            <w:pPr>
              <w:spacing w:after="0"/>
              <w:jc w:val="left"/>
            </w:pPr>
            <w:r>
              <w:rPr>
                <w:rFonts w:ascii="Liberation Sans" w:hAnsi="Liberation Sans"/>
                <w:b/>
                <w:color w:val="FFFFFF"/>
                <w:sz w:val="17"/>
              </w:rPr>
              <w:t>Duty</w:t>
            </w:r>
          </w:p>
        </w:tc>
        <w:tc>
          <w:tcPr>
            <w:tcW w:type="dxa" w:w="3024"/>
            <w:shd w:fill="1F2328"/>
            <w:vAlign w:val="center"/>
            <w:tcBorders>
              <w:top w:val="single" w:sz="4" w:color="FFFFFF"/>
              <w:left w:val="single" w:sz="4" w:color="FFFFFF"/>
              <w:bottom w:val="single" w:sz="4" w:color="FFFFFF"/>
              <w:right w:val="single" w:sz="4" w:color="FFFFFF"/>
            </w:tcBorders>
          </w:tcPr>
          <w:p>
            <w:pPr>
              <w:spacing w:after="0"/>
              <w:jc w:val="left"/>
            </w:pPr>
            <w:r>
              <w:rPr>
                <w:rFonts w:ascii="Liberation Sans" w:hAnsi="Liberation Sans"/>
                <w:b/>
                <w:color w:val="FFFFFF"/>
                <w:sz w:val="17"/>
              </w:rPr>
              <w:t>Privacy boundary</w:t>
            </w:r>
          </w:p>
        </w:tc>
      </w:tr>
      <w:tr>
        <w:trPr>
          <w:cantSplit w:val="true"/>
        </w:trPr>
        <w:tc>
          <w:tcPr>
            <w:tcW w:type="dxa" w:w="1944"/>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Party A advocate</w:t>
            </w:r>
          </w:p>
        </w:tc>
        <w:tc>
          <w:tcPr>
            <w:tcW w:type="dxa" w:w="4680"/>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Clarify goals, contributions, limits, and acceptable structures.</w:t>
            </w:r>
          </w:p>
        </w:tc>
        <w:tc>
          <w:tcPr>
            <w:tcW w:type="dxa" w:w="3024"/>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Private limits stay private unless the party authorizes disclosure.</w:t>
            </w:r>
          </w:p>
        </w:tc>
      </w:tr>
      <w:tr>
        <w:trPr>
          <w:cantSplit w:val="true"/>
        </w:trPr>
        <w:tc>
          <w:tcPr>
            <w:tcW w:type="dxa" w:w="1944"/>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Party B advocate</w:t>
            </w:r>
          </w:p>
        </w:tc>
        <w:tc>
          <w:tcPr>
            <w:tcW w:type="dxa" w:w="4680"/>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Clarify budget, resources, risks, needs, and non-cash offers.</w:t>
            </w:r>
          </w:p>
        </w:tc>
        <w:tc>
          <w:tcPr>
            <w:tcW w:type="dxa" w:w="3024"/>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Private limits stay private unless the party authorizes disclosure.</w:t>
            </w:r>
          </w:p>
        </w:tc>
      </w:tr>
      <w:tr>
        <w:trPr>
          <w:cantSplit w:val="true"/>
        </w:trPr>
        <w:tc>
          <w:tcPr>
            <w:tcW w:type="dxa" w:w="1944"/>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Neutral mediator</w:t>
            </w:r>
          </w:p>
        </w:tc>
        <w:tc>
          <w:tcPr>
            <w:tcW w:type="dxa" w:w="4680"/>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Compare authorized facts and propose understandable agreements.</w:t>
            </w:r>
          </w:p>
        </w:tc>
        <w:tc>
          <w:tcPr>
            <w:tcW w:type="dxa" w:w="3024"/>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Sees only shared facts and permitted negotiation ranges.</w:t>
            </w:r>
          </w:p>
        </w:tc>
      </w:tr>
    </w:tbl>
    <w:p>
      <w:pPr>
        <w:spacing w:after="20"/>
      </w:pPr>
    </w:p>
    <w:p>
      <w:pPr>
        <w:pStyle w:val="Heading2"/>
        <w:keepNext/>
        <w:spacing w:before="160" w:after="80"/>
      </w:pPr>
      <w:r>
        <w:rPr>
          <w:rFonts w:ascii="Liberation Sans" w:hAnsi="Liberation Sans"/>
          <w:b/>
          <w:color w:val="365D75"/>
          <w:sz w:val="25"/>
        </w:rPr>
        <w:t>3.3 Ledger and reputation</w:t>
      </w:r>
    </w:p>
    <w:p>
      <w:pPr>
        <w:spacing w:before="0" w:after="120" w:line="269" w:lineRule="auto"/>
      </w:pPr>
      <w:r>
        <w:rPr>
          <w:rFonts w:ascii="Liberation Sans" w:hAnsi="Liberation Sans"/>
          <w:i w:val="0"/>
          <w:color w:val="1F2328"/>
          <w:sz w:val="20"/>
        </w:rPr>
        <w:t>Only mutually agreed terms enter the ledger as the official transaction. The ledger then records delivery, settlement, completion, revision, cancellation, dispute, or resolution without claiming authority to enforce.</w:t>
      </w:r>
    </w:p>
    <w:p>
      <w:pPr>
        <w:pStyle w:val="Heading1"/>
        <w:keepNext/>
        <w:spacing w:before="200" w:after="140"/>
        <w:pBdr>
          <w:bottom w:val="single" w:sz="10" w:space="4" w:color="B8923B"/>
        </w:pBdr>
      </w:pPr>
      <w:r>
        <w:rPr>
          <w:rFonts w:ascii="Liberation Sans" w:hAnsi="Liberation Sans"/>
          <w:b/>
          <w:color w:val="1F2328"/>
          <w:sz w:val="34"/>
        </w:rPr>
        <w:t>4. Energy-first value model</w:t>
      </w:r>
    </w:p>
    <w:p>
      <w:pPr>
        <w:spacing w:before="0" w:after="120" w:line="269" w:lineRule="auto"/>
      </w:pPr>
      <w:r>
        <w:rPr>
          <w:rFonts w:ascii="Liberation Sans" w:hAnsi="Liberation Sans"/>
          <w:i w:val="0"/>
          <w:color w:val="1F2328"/>
          <w:sz w:val="20"/>
        </w:rPr>
        <w:t>KingdomWatts are the unit of accounting. Currency, goods, services, access, food, transportation, footage, revenue share, and other benefits are settlement media whose value is translated into energy terms for the agreement.</w:t>
      </w:r>
    </w:p>
    <w:p>
      <w:pPr>
        <w:pStyle w:val="Heading2"/>
        <w:keepNext/>
        <w:spacing w:before="160" w:after="80"/>
      </w:pPr>
      <w:r>
        <w:rPr>
          <w:rFonts w:ascii="Liberation Sans" w:hAnsi="Liberation Sans"/>
          <w:b/>
          <w:color w:val="365D75"/>
          <w:sz w:val="25"/>
        </w:rPr>
        <w:t>4.1 Core value categories</w:t>
      </w:r>
    </w:p>
    <w:tbl>
      <w:tblPr>
        <w:tblW w:type="auto" w:w="0"/>
        <w:jc w:val="center"/>
        <w:tblLayout w:type="fixed"/>
        <w:tblLook w:firstColumn="1" w:firstRow="1" w:lastColumn="0" w:lastRow="0" w:noHBand="0" w:noVBand="1" w:val="04A0"/>
      </w:tblPr>
      <w:tblGrid>
        <w:gridCol w:w="4997"/>
        <w:gridCol w:w="4997"/>
      </w:tblGrid>
      <w:tr>
        <w:trPr>
          <w:tblHeader w:val="true"/>
          <w:cantSplit w:val="true"/>
        </w:trPr>
        <w:tc>
          <w:tcPr>
            <w:tcW w:type="dxa" w:w="2304"/>
            <w:shd w:fill="1F2328"/>
            <w:vAlign w:val="center"/>
            <w:tcBorders>
              <w:top w:val="single" w:sz="4" w:color="FFFFFF"/>
              <w:left w:val="single" w:sz="4" w:color="FFFFFF"/>
              <w:bottom w:val="single" w:sz="4" w:color="FFFFFF"/>
              <w:right w:val="single" w:sz="4" w:color="FFFFFF"/>
            </w:tcBorders>
          </w:tcPr>
          <w:p>
            <w:pPr>
              <w:spacing w:after="0"/>
              <w:jc w:val="left"/>
            </w:pPr>
            <w:r>
              <w:rPr>
                <w:rFonts w:ascii="Liberation Sans" w:hAnsi="Liberation Sans"/>
                <w:b/>
                <w:color w:val="FFFFFF"/>
                <w:sz w:val="17"/>
              </w:rPr>
              <w:t>Category</w:t>
            </w:r>
          </w:p>
        </w:tc>
        <w:tc>
          <w:tcPr>
            <w:tcW w:type="dxa" w:w="7272"/>
            <w:shd w:fill="1F2328"/>
            <w:vAlign w:val="center"/>
            <w:tcBorders>
              <w:top w:val="single" w:sz="4" w:color="FFFFFF"/>
              <w:left w:val="single" w:sz="4" w:color="FFFFFF"/>
              <w:bottom w:val="single" w:sz="4" w:color="FFFFFF"/>
              <w:right w:val="single" w:sz="4" w:color="FFFFFF"/>
            </w:tcBorders>
          </w:tcPr>
          <w:p>
            <w:pPr>
              <w:spacing w:after="0"/>
              <w:jc w:val="left"/>
            </w:pPr>
            <w:r>
              <w:rPr>
                <w:rFonts w:ascii="Liberation Sans" w:hAnsi="Liberation Sans"/>
                <w:b/>
                <w:color w:val="FFFFFF"/>
                <w:sz w:val="17"/>
              </w:rPr>
              <w:t>Definition</w:t>
            </w:r>
          </w:p>
        </w:tc>
      </w:tr>
      <w:tr>
        <w:trPr>
          <w:cantSplit w:val="true"/>
        </w:trPr>
        <w:tc>
          <w:tcPr>
            <w:tcW w:type="dxa" w:w="2304"/>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Direct delivered value</w:t>
            </w:r>
          </w:p>
        </w:tc>
        <w:tc>
          <w:tcPr>
            <w:tcW w:type="dxa" w:w="7272"/>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Work and value delivered specifically in the transaction: performance, setup, service time, production, transport, administration.</w:t>
            </w:r>
          </w:p>
        </w:tc>
      </w:tr>
      <w:tr>
        <w:trPr>
          <w:cantSplit w:val="true"/>
        </w:trPr>
        <w:tc>
          <w:tcPr>
            <w:tcW w:type="dxa" w:w="2304"/>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Transaction expenses</w:t>
            </w:r>
          </w:p>
        </w:tc>
        <w:tc>
          <w:tcPr>
            <w:tcW w:type="dxa" w:w="7272"/>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Fuel, parking, materials, rentals, permits, consumables, and other out-of-pocket inputs.</w:t>
            </w:r>
          </w:p>
        </w:tc>
      </w:tr>
      <w:tr>
        <w:trPr>
          <w:cantSplit w:val="true"/>
        </w:trPr>
        <w:tc>
          <w:tcPr>
            <w:tcW w:type="dxa" w:w="2304"/>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Equipment deployment</w:t>
            </w:r>
          </w:p>
        </w:tc>
        <w:tc>
          <w:tcPr>
            <w:tcW w:type="dxa" w:w="7272"/>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Use, wear, risk, transport, and energy consumption of tools and equipment.</w:t>
            </w:r>
          </w:p>
        </w:tc>
      </w:tr>
      <w:tr>
        <w:trPr>
          <w:cantSplit w:val="true"/>
        </w:trPr>
        <w:tc>
          <w:tcPr>
            <w:tcW w:type="dxa" w:w="2304"/>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Reusable preparation</w:t>
            </w:r>
          </w:p>
        </w:tc>
        <w:tc>
          <w:tcPr>
            <w:tcW w:type="dxa" w:w="7272"/>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Rehearsals, arrangements, templates, software, set design, or preparation that can serve more than one transaction.</w:t>
            </w:r>
          </w:p>
        </w:tc>
      </w:tr>
      <w:tr>
        <w:trPr>
          <w:cantSplit w:val="true"/>
        </w:trPr>
        <w:tc>
          <w:tcPr>
            <w:tcW w:type="dxa" w:w="2304"/>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Embedded capacity</w:t>
            </w:r>
          </w:p>
        </w:tc>
        <w:tc>
          <w:tcPr>
            <w:tcW w:type="dxa" w:w="7272"/>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Skill, repertoire, trust, reputation, audience, systems, and accumulated ability activated in the exchange.</w:t>
            </w:r>
          </w:p>
        </w:tc>
      </w:tr>
      <w:tr>
        <w:trPr>
          <w:cantSplit w:val="true"/>
        </w:trPr>
        <w:tc>
          <w:tcPr>
            <w:tcW w:type="dxa" w:w="2304"/>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Risk and constraints</w:t>
            </w:r>
          </w:p>
        </w:tc>
        <w:tc>
          <w:tcPr>
            <w:tcW w:type="dxa" w:w="7272"/>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Cancellation exposure, exclusivity, damage exposure, timing scarcity, uncertainty, or opportunity cost.</w:t>
            </w:r>
          </w:p>
        </w:tc>
      </w:tr>
      <w:tr>
        <w:trPr>
          <w:cantSplit w:val="true"/>
        </w:trPr>
        <w:tc>
          <w:tcPr>
            <w:tcW w:type="dxa" w:w="2304"/>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Settlement received</w:t>
            </w:r>
          </w:p>
        </w:tc>
        <w:tc>
          <w:tcPr>
            <w:tcW w:type="dxa" w:w="7272"/>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All concrete value promised in return, expressed in energy equivalents.</w:t>
            </w:r>
          </w:p>
        </w:tc>
      </w:tr>
      <w:tr>
        <w:trPr>
          <w:cantSplit w:val="true"/>
        </w:trPr>
        <w:tc>
          <w:tcPr>
            <w:tcW w:type="dxa" w:w="2304"/>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Benevolent contribution</w:t>
            </w:r>
          </w:p>
        </w:tc>
        <w:tc>
          <w:tcPr>
            <w:tcW w:type="dxa" w:w="7272"/>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The mutually agreed value provided beyond the mutually agreed settlement.</w:t>
            </w:r>
          </w:p>
        </w:tc>
      </w:tr>
    </w:tbl>
    <w:p>
      <w:pPr>
        <w:spacing w:after="20"/>
      </w:pPr>
    </w:p>
    <w:p>
      <w:pPr>
        <w:pStyle w:val="Heading2"/>
        <w:keepNext/>
        <w:spacing w:before="160" w:after="80"/>
      </w:pPr>
      <w:r>
        <w:rPr>
          <w:rFonts w:ascii="Liberation Sans" w:hAnsi="Liberation Sans"/>
          <w:b/>
          <w:color w:val="365D75"/>
          <w:sz w:val="25"/>
        </w:rPr>
        <w:t>4.2 Currency bridge</w:t>
      </w:r>
    </w:p>
    <w:p>
      <w:pPr>
        <w:spacing w:before="0" w:after="120" w:line="269" w:lineRule="auto"/>
      </w:pPr>
      <w:r>
        <w:rPr>
          <w:rFonts w:ascii="Liberation Sans" w:hAnsi="Liberation Sans"/>
          <w:i w:val="0"/>
          <w:color w:val="1F2328"/>
          <w:sz w:val="20"/>
        </w:rPr>
        <w:t>A currency amount may be displayed for practical settlement, but the transaction stores both the original amount and the energy bridge used at agreement time. Later bridge changes must not rewrite historical records.</w:t>
      </w:r>
    </w:p>
    <w:tbl>
      <w:tblPr>
        <w:tblW w:type="auto" w:w="0"/>
        <w:jc w:val="center"/>
        <w:tblLayout w:type="fixed"/>
        <w:tblLook w:firstColumn="1" w:firstRow="1" w:lastColumn="0" w:lastRow="0" w:noHBand="0" w:noVBand="1" w:val="04A0"/>
      </w:tblPr>
      <w:tblGrid>
        <w:gridCol w:w="173"/>
        <w:gridCol w:w="9576"/>
      </w:tblGrid>
      <w:tr>
        <w:tc>
          <w:tcPr>
            <w:tcW w:type="dxa" w:w="173"/>
            <w:shd w:fill="B8923B"/>
            <w:vAlign w:val="center"/>
            <w:tcBorders>
              <w:top w:val="nil"/>
              <w:left w:val="nil"/>
              <w:bottom w:val="nil"/>
              <w:right w:val="nil"/>
            </w:tcBorders>
          </w:tcPr>
          <w:p/>
        </w:tc>
        <w:tc>
          <w:tcPr>
            <w:tcW w:type="dxa" w:w="9576"/>
            <w:shd w:fill="FAF8F2"/>
            <w:vAlign w:val="center"/>
            <w:tcBorders>
              <w:top w:val="nil"/>
              <w:left w:val="nil"/>
              <w:bottom w:val="nil"/>
              <w:right w:val="nil"/>
            </w:tcBorders>
          </w:tcPr>
          <w:p>
            <w:pPr>
              <w:spacing w:after="40"/>
            </w:pPr>
            <w:r>
              <w:rPr>
                <w:rFonts w:ascii="Liberation Sans" w:hAnsi="Liberation Sans"/>
                <w:b/>
                <w:color w:val="1F2328"/>
                <w:sz w:val="20"/>
              </w:rPr>
              <w:t>Required display order</w:t>
            </w:r>
          </w:p>
          <w:p>
            <w:pPr>
              <w:spacing w:after="0" w:line="259" w:lineRule="auto"/>
            </w:pPr>
            <w:r>
              <w:rPr>
                <w:rFonts w:ascii="Liberation Sans" w:hAnsi="Liberation Sans"/>
                <w:color w:val="1F2328"/>
                <w:sz w:val="19"/>
              </w:rPr>
              <w:t>Show KW₭ first. Show currency only as an optional settlement translation: “2,500 KW₭, settled as approximately CAD $200 using the agreed bridge.”</w:t>
            </w:r>
          </w:p>
        </w:tc>
      </w:tr>
    </w:tbl>
    <w:p>
      <w:pPr>
        <w:spacing w:after="20"/>
      </w:pPr>
    </w:p>
    <w:p>
      <w:pPr>
        <w:pStyle w:val="Heading1"/>
        <w:keepNext/>
        <w:spacing w:before="200" w:after="140"/>
        <w:pBdr>
          <w:bottom w:val="single" w:sz="10" w:space="4" w:color="B8923B"/>
        </w:pBdr>
      </w:pPr>
      <w:r>
        <w:rPr>
          <w:rFonts w:ascii="Liberation Sans" w:hAnsi="Liberation Sans"/>
          <w:b/>
          <w:color w:val="1F2328"/>
          <w:sz w:val="34"/>
        </w:rPr>
        <w:t>5. Invoice mode and full-value mode</w:t>
      </w:r>
    </w:p>
    <w:tbl>
      <w:tblPr>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1800"/>
            <w:shd w:fill="1F2328"/>
            <w:vAlign w:val="center"/>
            <w:tcBorders>
              <w:top w:val="single" w:sz="4" w:color="FFFFFF"/>
              <w:left w:val="single" w:sz="4" w:color="FFFFFF"/>
              <w:bottom w:val="single" w:sz="4" w:color="FFFFFF"/>
              <w:right w:val="single" w:sz="4" w:color="FFFFFF"/>
            </w:tcBorders>
          </w:tcPr>
          <w:p>
            <w:pPr>
              <w:spacing w:after="0"/>
              <w:jc w:val="left"/>
            </w:pPr>
            <w:r>
              <w:rPr>
                <w:rFonts w:ascii="Liberation Sans" w:hAnsi="Liberation Sans"/>
                <w:b/>
                <w:color w:val="FFFFFF"/>
                <w:sz w:val="17"/>
              </w:rPr>
              <w:t>Mode</w:t>
            </w:r>
          </w:p>
        </w:tc>
        <w:tc>
          <w:tcPr>
            <w:tcW w:type="dxa" w:w="3528"/>
            <w:shd w:fill="1F2328"/>
            <w:vAlign w:val="center"/>
            <w:tcBorders>
              <w:top w:val="single" w:sz="4" w:color="FFFFFF"/>
              <w:left w:val="single" w:sz="4" w:color="FFFFFF"/>
              <w:bottom w:val="single" w:sz="4" w:color="FFFFFF"/>
              <w:right w:val="single" w:sz="4" w:color="FFFFFF"/>
            </w:tcBorders>
          </w:tcPr>
          <w:p>
            <w:pPr>
              <w:spacing w:after="0"/>
              <w:jc w:val="left"/>
            </w:pPr>
            <w:r>
              <w:rPr>
                <w:rFonts w:ascii="Liberation Sans" w:hAnsi="Liberation Sans"/>
                <w:b/>
                <w:color w:val="FFFFFF"/>
                <w:sz w:val="17"/>
              </w:rPr>
              <w:t>Question answered</w:t>
            </w:r>
          </w:p>
        </w:tc>
        <w:tc>
          <w:tcPr>
            <w:tcW w:type="dxa" w:w="4320"/>
            <w:shd w:fill="1F2328"/>
            <w:vAlign w:val="center"/>
            <w:tcBorders>
              <w:top w:val="single" w:sz="4" w:color="FFFFFF"/>
              <w:left w:val="single" w:sz="4" w:color="FFFFFF"/>
              <w:bottom w:val="single" w:sz="4" w:color="FFFFFF"/>
              <w:right w:val="single" w:sz="4" w:color="FFFFFF"/>
            </w:tcBorders>
          </w:tcPr>
          <w:p>
            <w:pPr>
              <w:spacing w:after="0"/>
              <w:jc w:val="left"/>
            </w:pPr>
            <w:r>
              <w:rPr>
                <w:rFonts w:ascii="Liberation Sans" w:hAnsi="Liberation Sans"/>
                <w:b/>
                <w:color w:val="FFFFFF"/>
                <w:sz w:val="17"/>
              </w:rPr>
              <w:t>Includes</w:t>
            </w:r>
          </w:p>
        </w:tc>
      </w:tr>
      <w:tr>
        <w:trPr>
          <w:cantSplit w:val="true"/>
        </w:trPr>
        <w:tc>
          <w:tcPr>
            <w:tcW w:type="dxa" w:w="1800"/>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Invoice mode</w:t>
            </w:r>
          </w:p>
        </w:tc>
        <w:tc>
          <w:tcPr>
            <w:tcW w:type="dxa" w:w="3528"/>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What immediate settlement is reasonable for this deal?</w:t>
            </w:r>
          </w:p>
        </w:tc>
        <w:tc>
          <w:tcPr>
            <w:tcW w:type="dxa" w:w="4320"/>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Direct work, expenses, deployment, risk, and a justified allocation of reusable preparation.</w:t>
            </w:r>
          </w:p>
        </w:tc>
      </w:tr>
      <w:tr>
        <w:trPr>
          <w:cantSplit w:val="true"/>
        </w:trPr>
        <w:tc>
          <w:tcPr>
            <w:tcW w:type="dxa" w:w="1800"/>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Full-value mode</w:t>
            </w:r>
          </w:p>
        </w:tc>
        <w:tc>
          <w:tcPr>
            <w:tcW w:type="dxa" w:w="3528"/>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What total value is being activated or transferred?</w:t>
            </w:r>
          </w:p>
        </w:tc>
        <w:tc>
          <w:tcPr>
            <w:tcW w:type="dxa" w:w="4320"/>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Invoice components plus embedded and reusable value that may not be fully chargeable to one buyer.</w:t>
            </w:r>
          </w:p>
        </w:tc>
      </w:tr>
    </w:tbl>
    <w:p>
      <w:pPr>
        <w:spacing w:after="20"/>
      </w:pPr>
    </w:p>
    <w:p>
      <w:pPr>
        <w:spacing w:before="0" w:after="120" w:line="269" w:lineRule="auto"/>
      </w:pPr>
      <w:r>
        <w:rPr>
          <w:rFonts w:ascii="Liberation Sans" w:hAnsi="Liberation Sans"/>
          <w:i w:val="0"/>
          <w:color w:val="1F2328"/>
          <w:sz w:val="20"/>
        </w:rPr>
        <w:t>The two modes prevent a common error: treating every valuable input as though it must be invoiced fully to the present buyer. Rehearsal is valuable, but a reusable set may serve many shows. Full-value mode reveals it; invoice mode allocates it reasonably.</w:t>
      </w:r>
    </w:p>
    <w:tbl>
      <w:tblPr>
        <w:tblW w:type="auto" w:w="0"/>
        <w:jc w:val="center"/>
        <w:tblLayout w:type="fixed"/>
        <w:tblLook w:firstColumn="1" w:firstRow="1" w:lastColumn="0" w:lastRow="0" w:noHBand="0" w:noVBand="1" w:val="04A0"/>
      </w:tblPr>
      <w:tblGrid>
        <w:gridCol w:w="173"/>
        <w:gridCol w:w="9576"/>
      </w:tblGrid>
      <w:tr>
        <w:tc>
          <w:tcPr>
            <w:tcW w:type="dxa" w:w="173"/>
            <w:shd w:fill="365D75"/>
            <w:vAlign w:val="center"/>
            <w:tcBorders>
              <w:top w:val="nil"/>
              <w:left w:val="nil"/>
              <w:bottom w:val="nil"/>
              <w:right w:val="nil"/>
            </w:tcBorders>
          </w:tcPr>
          <w:p/>
        </w:tc>
        <w:tc>
          <w:tcPr>
            <w:tcW w:type="dxa" w:w="9576"/>
            <w:shd w:fill="FAF8F2"/>
            <w:vAlign w:val="center"/>
            <w:tcBorders>
              <w:top w:val="nil"/>
              <w:left w:val="nil"/>
              <w:bottom w:val="nil"/>
              <w:right w:val="nil"/>
            </w:tcBorders>
          </w:tcPr>
          <w:p>
            <w:pPr>
              <w:spacing w:after="40"/>
            </w:pPr>
            <w:r>
              <w:rPr>
                <w:rFonts w:ascii="Liberation Sans" w:hAnsi="Liberation Sans"/>
                <w:b/>
                <w:color w:val="1F2328"/>
                <w:sz w:val="20"/>
              </w:rPr>
              <w:t>Interpretive example</w:t>
            </w:r>
          </w:p>
          <w:p>
            <w:pPr>
              <w:spacing w:after="0" w:line="259" w:lineRule="auto"/>
            </w:pPr>
            <w:r>
              <w:rPr>
                <w:rFonts w:ascii="Liberation Sans" w:hAnsi="Liberation Sans"/>
                <w:color w:val="1F2328"/>
                <w:sz w:val="19"/>
              </w:rPr>
              <w:t>A one-hour show may have a CAD $200 settlement, a 6,000 KW₭ invoice estimate, and a 10,000 KW₭ full-value record. All three can be true simultaneously.</w:t>
            </w:r>
          </w:p>
        </w:tc>
      </w:tr>
    </w:tbl>
    <w:p>
      <w:pPr>
        <w:spacing w:after="20"/>
      </w:pPr>
    </w:p>
    <w:p>
      <w:pPr>
        <w:pStyle w:val="Heading1"/>
        <w:keepNext/>
        <w:spacing w:before="200" w:after="140"/>
        <w:pBdr>
          <w:bottom w:val="single" w:sz="10" w:space="4" w:color="B8923B"/>
        </w:pBdr>
      </w:pPr>
      <w:r>
        <w:rPr>
          <w:rFonts w:ascii="Liberation Sans" w:hAnsi="Liberation Sans"/>
          <w:b/>
          <w:color w:val="1F2328"/>
          <w:sz w:val="34"/>
        </w:rPr>
        <w:t>6. Transaction lifecycle and ledger</w:t>
      </w:r>
    </w:p>
    <w:tbl>
      <w:tblPr>
        <w:tblW w:type="auto" w:w="0"/>
        <w:jc w:val="center"/>
        <w:tblLayout w:type="fixed"/>
        <w:tblLook w:firstColumn="1" w:firstRow="1" w:lastColumn="0" w:lastRow="0" w:noHBand="0" w:noVBand="1" w:val="04A0"/>
      </w:tblPr>
      <w:tblGrid>
        <w:gridCol w:w="4997"/>
        <w:gridCol w:w="4997"/>
      </w:tblGrid>
      <w:tr>
        <w:trPr>
          <w:tblHeader w:val="true"/>
          <w:cantSplit w:val="true"/>
        </w:trPr>
        <w:tc>
          <w:tcPr>
            <w:tcW w:type="dxa" w:w="1656"/>
            <w:shd w:fill="1F2328"/>
            <w:vAlign w:val="center"/>
            <w:tcBorders>
              <w:top w:val="single" w:sz="4" w:color="FFFFFF"/>
              <w:left w:val="single" w:sz="4" w:color="FFFFFF"/>
              <w:bottom w:val="single" w:sz="4" w:color="FFFFFF"/>
              <w:right w:val="single" w:sz="4" w:color="FFFFFF"/>
            </w:tcBorders>
          </w:tcPr>
          <w:p>
            <w:pPr>
              <w:spacing w:after="0"/>
              <w:jc w:val="left"/>
            </w:pPr>
            <w:r>
              <w:rPr>
                <w:rFonts w:ascii="Liberation Sans" w:hAnsi="Liberation Sans"/>
                <w:b/>
                <w:color w:val="FFFFFF"/>
                <w:sz w:val="17"/>
              </w:rPr>
              <w:t>Stage</w:t>
            </w:r>
          </w:p>
        </w:tc>
        <w:tc>
          <w:tcPr>
            <w:tcW w:type="dxa" w:w="7920"/>
            <w:shd w:fill="1F2328"/>
            <w:vAlign w:val="center"/>
            <w:tcBorders>
              <w:top w:val="single" w:sz="4" w:color="FFFFFF"/>
              <w:left w:val="single" w:sz="4" w:color="FFFFFF"/>
              <w:bottom w:val="single" w:sz="4" w:color="FFFFFF"/>
              <w:right w:val="single" w:sz="4" w:color="FFFFFF"/>
            </w:tcBorders>
          </w:tcPr>
          <w:p>
            <w:pPr>
              <w:spacing w:after="0"/>
              <w:jc w:val="left"/>
            </w:pPr>
            <w:r>
              <w:rPr>
                <w:rFonts w:ascii="Liberation Sans" w:hAnsi="Liberation Sans"/>
                <w:b/>
                <w:color w:val="FFFFFF"/>
                <w:sz w:val="17"/>
              </w:rPr>
              <w:t>Function</w:t>
            </w:r>
          </w:p>
        </w:tc>
      </w:tr>
      <w:tr>
        <w:trPr>
          <w:cantSplit w:val="true"/>
        </w:trPr>
        <w:tc>
          <w:tcPr>
            <w:tcW w:type="dxa" w:w="1656"/>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Describe</w:t>
            </w:r>
          </w:p>
        </w:tc>
        <w:tc>
          <w:tcPr>
            <w:tcW w:type="dxa" w:w="7920"/>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Each party describes the exchange, goals, constraints, and contributions.</w:t>
            </w:r>
          </w:p>
        </w:tc>
      </w:tr>
      <w:tr>
        <w:trPr>
          <w:cantSplit w:val="true"/>
        </w:trPr>
        <w:tc>
          <w:tcPr>
            <w:tcW w:type="dxa" w:w="1656"/>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Clarify</w:t>
            </w:r>
          </w:p>
        </w:tc>
        <w:tc>
          <w:tcPr>
            <w:tcW w:type="dxa" w:w="7920"/>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Advocates ask only the missing questions and flag assumptions.</w:t>
            </w:r>
          </w:p>
        </w:tc>
      </w:tr>
      <w:tr>
        <w:trPr>
          <w:cantSplit w:val="true"/>
        </w:trPr>
        <w:tc>
          <w:tcPr>
            <w:tcW w:type="dxa" w:w="1656"/>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Measure</w:t>
            </w:r>
          </w:p>
        </w:tc>
        <w:tc>
          <w:tcPr>
            <w:tcW w:type="dxa" w:w="7920"/>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The kernel produces invoice-mode and full-value estimates in KW₭.</w:t>
            </w:r>
          </w:p>
        </w:tc>
      </w:tr>
      <w:tr>
        <w:trPr>
          <w:cantSplit w:val="true"/>
        </w:trPr>
        <w:tc>
          <w:tcPr>
            <w:tcW w:type="dxa" w:w="1656"/>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Negotiate</w:t>
            </w:r>
          </w:p>
        </w:tc>
        <w:tc>
          <w:tcPr>
            <w:tcW w:type="dxa" w:w="7920"/>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The mediator proposes deal structures without revealing private limits.</w:t>
            </w:r>
          </w:p>
        </w:tc>
      </w:tr>
      <w:tr>
        <w:trPr>
          <w:cantSplit w:val="true"/>
        </w:trPr>
        <w:tc>
          <w:tcPr>
            <w:tcW w:type="dxa" w:w="1656"/>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Agree</w:t>
            </w:r>
          </w:p>
        </w:tc>
        <w:tc>
          <w:tcPr>
            <w:tcW w:type="dxa" w:w="7920"/>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Both parties approve the shared terms, valuations, settlement, obligations, and permissions.</w:t>
            </w:r>
          </w:p>
        </w:tc>
      </w:tr>
      <w:tr>
        <w:trPr>
          <w:cantSplit w:val="true"/>
        </w:trPr>
        <w:tc>
          <w:tcPr>
            <w:tcW w:type="dxa" w:w="1656"/>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Record</w:t>
            </w:r>
          </w:p>
        </w:tc>
        <w:tc>
          <w:tcPr>
            <w:tcW w:type="dxa" w:w="7920"/>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The signed-off agreement becomes the immutable transaction version.</w:t>
            </w:r>
          </w:p>
        </w:tc>
      </w:tr>
      <w:tr>
        <w:trPr>
          <w:cantSplit w:val="true"/>
        </w:trPr>
        <w:tc>
          <w:tcPr>
            <w:tcW w:type="dxa" w:w="1656"/>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Deliver</w:t>
            </w:r>
          </w:p>
        </w:tc>
        <w:tc>
          <w:tcPr>
            <w:tcW w:type="dxa" w:w="7920"/>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The parties perform their obligations outside the platform’s coercive control.</w:t>
            </w:r>
          </w:p>
        </w:tc>
      </w:tr>
      <w:tr>
        <w:trPr>
          <w:cantSplit w:val="true"/>
        </w:trPr>
        <w:tc>
          <w:tcPr>
            <w:tcW w:type="dxa" w:w="1656"/>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Confirm outcome</w:t>
            </w:r>
          </w:p>
        </w:tc>
        <w:tc>
          <w:tcPr>
            <w:tcW w:type="dxa" w:w="7920"/>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Each party records delivery, satisfaction, revision, cancellation, dispute, or resolution.</w:t>
            </w:r>
          </w:p>
        </w:tc>
      </w:tr>
      <w:tr>
        <w:trPr>
          <w:cantSplit w:val="true"/>
        </w:trPr>
        <w:tc>
          <w:tcPr>
            <w:tcW w:type="dxa" w:w="1656"/>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Update history</w:t>
            </w:r>
          </w:p>
        </w:tc>
        <w:tc>
          <w:tcPr>
            <w:tcW w:type="dxa" w:w="7920"/>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The ledger updates benevolent contribution and transaction-based reputation facts.</w:t>
            </w:r>
          </w:p>
        </w:tc>
      </w:tr>
    </w:tbl>
    <w:p>
      <w:pPr>
        <w:spacing w:after="20"/>
      </w:pPr>
    </w:p>
    <w:p>
      <w:pPr>
        <w:pStyle w:val="Heading2"/>
        <w:keepNext/>
        <w:spacing w:before="160" w:after="80"/>
      </w:pPr>
      <w:r>
        <w:rPr>
          <w:rFonts w:ascii="Liberation Sans" w:hAnsi="Liberation Sans"/>
          <w:b/>
          <w:color w:val="365D75"/>
          <w:sz w:val="25"/>
        </w:rPr>
        <w:t>6.1 Ledger equations</w:t>
      </w:r>
    </w:p>
    <w:tbl>
      <w:tblPr>
        <w:tblW w:type="auto" w:w="0"/>
        <w:jc w:val="center"/>
        <w:tblLayout w:type="fixed"/>
        <w:tblLook w:firstColumn="1" w:firstRow="1" w:lastColumn="0" w:lastRow="0" w:noHBand="0" w:noVBand="1" w:val="04A0"/>
      </w:tblPr>
      <w:tblGrid>
        <w:gridCol w:w="9994"/>
      </w:tblGrid>
      <w:tr>
        <w:tc>
          <w:tcPr>
            <w:tcW w:type="dxa" w:w="9216"/>
            <w:shd w:fill="F3F0E8"/>
            <w:tcBorders>
              <w:top w:val="single" w:sz="8" w:color="B8923B"/>
              <w:left w:val="single" w:sz="8" w:color="B8923B"/>
              <w:bottom w:val="single" w:sz="8" w:color="B8923B"/>
              <w:right w:val="single" w:sz="8" w:color="B8923B"/>
            </w:tcBorders>
          </w:tcPr>
          <w:p>
            <w:pPr>
              <w:jc w:val="center"/>
            </w:pPr>
            <w:r>
              <w:rPr>
                <w:rFonts w:ascii="Liberation Serif" w:hAnsi="Liberation Serif"/>
                <w:b/>
                <w:color w:val="1F2328"/>
                <w:sz w:val="26"/>
              </w:rPr>
              <w:t>B = max(0, V_agreed − S_agreed)</w:t>
            </w:r>
          </w:p>
          <w:p>
            <w:pPr>
              <w:jc w:val="center"/>
            </w:pPr>
            <w:r>
              <w:rPr>
                <w:rFonts w:ascii="Liberation Sans" w:hAnsi="Liberation Sans"/>
                <w:i/>
                <w:color w:val="505861"/>
                <w:sz w:val="17"/>
              </w:rPr>
              <w:t>B = benevolent contribution; V = mutually agreed full value; S = mutually agreed settlement.</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216"/>
            <w:shd w:fill="F3F0E8"/>
            <w:tcBorders>
              <w:top w:val="single" w:sz="8" w:color="B8923B"/>
              <w:left w:val="single" w:sz="8" w:color="B8923B"/>
              <w:bottom w:val="single" w:sz="8" w:color="B8923B"/>
              <w:right w:val="single" w:sz="8" w:color="B8923B"/>
            </w:tcBorders>
          </w:tcPr>
          <w:p>
            <w:pPr>
              <w:jc w:val="center"/>
            </w:pPr>
            <w:r>
              <w:rPr>
                <w:rFonts w:ascii="Liberation Serif" w:hAnsi="Liberation Serif"/>
                <w:b/>
                <w:color w:val="1F2328"/>
                <w:sz w:val="26"/>
              </w:rPr>
              <w:t>U = max(0, S_agreed − S_delivered)</w:t>
            </w:r>
          </w:p>
          <w:p>
            <w:pPr>
              <w:jc w:val="center"/>
            </w:pPr>
            <w:r>
              <w:rPr>
                <w:rFonts w:ascii="Liberation Sans" w:hAnsi="Liberation Sans"/>
                <w:i/>
                <w:color w:val="505861"/>
                <w:sz w:val="17"/>
              </w:rPr>
              <w:t>U = unfulfilled obligation. It remains separate from benevolent contribution.</w:t>
            </w:r>
          </w:p>
        </w:tc>
      </w:tr>
    </w:tbl>
    <w:p>
      <w:pPr>
        <w:spacing w:after="0"/>
      </w:pPr>
    </w:p>
    <w:tbl>
      <w:tblPr>
        <w:tblW w:type="auto" w:w="0"/>
        <w:jc w:val="center"/>
        <w:tblLayout w:type="fixed"/>
        <w:tblLook w:firstColumn="1" w:firstRow="1" w:lastColumn="0" w:lastRow="0" w:noHBand="0" w:noVBand="1" w:val="04A0"/>
      </w:tblPr>
      <w:tblGrid>
        <w:gridCol w:w="9994"/>
      </w:tblGrid>
      <w:tr>
        <w:tc>
          <w:tcPr>
            <w:tcW w:type="dxa" w:w="9216"/>
            <w:shd w:fill="F3F0E8"/>
            <w:tcBorders>
              <w:top w:val="single" w:sz="8" w:color="B8923B"/>
              <w:left w:val="single" w:sz="8" w:color="B8923B"/>
              <w:bottom w:val="single" w:sz="8" w:color="B8923B"/>
              <w:right w:val="single" w:sz="8" w:color="B8923B"/>
            </w:tcBorders>
          </w:tcPr>
          <w:p>
            <w:pPr>
              <w:jc w:val="center"/>
            </w:pPr>
            <w:r>
              <w:rPr>
                <w:rFonts w:ascii="Liberation Serif" w:hAnsi="Liberation Serif"/>
                <w:b/>
                <w:color w:val="1F2328"/>
                <w:sz w:val="26"/>
              </w:rPr>
              <w:t>Completed settlement ratio = S_delivered ÷ S_agreed</w:t>
            </w:r>
          </w:p>
          <w:p>
            <w:pPr>
              <w:jc w:val="center"/>
            </w:pPr>
            <w:r>
              <w:rPr>
                <w:rFonts w:ascii="Liberation Sans" w:hAnsi="Liberation Sans"/>
                <w:i/>
                <w:color w:val="505861"/>
                <w:sz w:val="17"/>
              </w:rPr>
              <w:t>Used as transaction context, not as a universal moral score.</w:t>
            </w:r>
          </w:p>
        </w:tc>
      </w:tr>
    </w:tbl>
    <w:p>
      <w:pPr>
        <w:spacing w:after="0"/>
      </w:pPr>
    </w:p>
    <w:p>
      <w:pPr>
        <w:pStyle w:val="Heading2"/>
        <w:keepNext/>
        <w:spacing w:before="160" w:after="80"/>
      </w:pPr>
      <w:r>
        <w:rPr>
          <w:rFonts w:ascii="Liberation Sans" w:hAnsi="Liberation Sans"/>
          <w:b/>
          <w:color w:val="365D75"/>
          <w:sz w:val="25"/>
        </w:rPr>
        <w:t>6.2 Statuses</w:t>
      </w:r>
    </w:p>
    <w:tbl>
      <w:tblPr>
        <w:tblW w:type="auto" w:w="0"/>
        <w:jc w:val="center"/>
        <w:tblLayout w:type="fixed"/>
        <w:tblLook w:firstColumn="1" w:firstRow="1" w:lastColumn="0" w:lastRow="0" w:noHBand="0" w:noVBand="1" w:val="04A0"/>
      </w:tblPr>
      <w:tblGrid>
        <w:gridCol w:w="4997"/>
        <w:gridCol w:w="4997"/>
      </w:tblGrid>
      <w:tr>
        <w:trPr>
          <w:tblHeader w:val="true"/>
          <w:cantSplit w:val="true"/>
        </w:trPr>
        <w:tc>
          <w:tcPr>
            <w:tcW w:type="dxa" w:w="2520"/>
            <w:shd w:fill="1F2328"/>
            <w:vAlign w:val="center"/>
            <w:tcBorders>
              <w:top w:val="single" w:sz="4" w:color="FFFFFF"/>
              <w:left w:val="single" w:sz="4" w:color="FFFFFF"/>
              <w:bottom w:val="single" w:sz="4" w:color="FFFFFF"/>
              <w:right w:val="single" w:sz="4" w:color="FFFFFF"/>
            </w:tcBorders>
          </w:tcPr>
          <w:p>
            <w:pPr>
              <w:spacing w:after="0"/>
              <w:jc w:val="left"/>
            </w:pPr>
            <w:r>
              <w:rPr>
                <w:rFonts w:ascii="Liberation Sans" w:hAnsi="Liberation Sans"/>
                <w:b/>
                <w:color w:val="FFFFFF"/>
                <w:sz w:val="17"/>
              </w:rPr>
              <w:t>Status</w:t>
            </w:r>
          </w:p>
        </w:tc>
        <w:tc>
          <w:tcPr>
            <w:tcW w:type="dxa" w:w="7056"/>
            <w:shd w:fill="1F2328"/>
            <w:vAlign w:val="center"/>
            <w:tcBorders>
              <w:top w:val="single" w:sz="4" w:color="FFFFFF"/>
              <w:left w:val="single" w:sz="4" w:color="FFFFFF"/>
              <w:bottom w:val="single" w:sz="4" w:color="FFFFFF"/>
              <w:right w:val="single" w:sz="4" w:color="FFFFFF"/>
            </w:tcBorders>
          </w:tcPr>
          <w:p>
            <w:pPr>
              <w:spacing w:after="0"/>
              <w:jc w:val="left"/>
            </w:pPr>
            <w:r>
              <w:rPr>
                <w:rFonts w:ascii="Liberation Sans" w:hAnsi="Liberation Sans"/>
                <w:b/>
                <w:color w:val="FFFFFF"/>
                <w:sz w:val="17"/>
              </w:rPr>
              <w:t>Meaning</w:t>
            </w:r>
          </w:p>
        </w:tc>
      </w:tr>
      <w:tr>
        <w:trPr>
          <w:cantSplit w:val="true"/>
        </w:trPr>
        <w:tc>
          <w:tcPr>
            <w:tcW w:type="dxa" w:w="2520"/>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Draft</w:t>
            </w:r>
          </w:p>
        </w:tc>
        <w:tc>
          <w:tcPr>
            <w:tcW w:type="dxa" w:w="7056"/>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Private and editable; no reputation impact.</w:t>
            </w:r>
          </w:p>
        </w:tc>
      </w:tr>
      <w:tr>
        <w:trPr>
          <w:cantSplit w:val="true"/>
        </w:trPr>
        <w:tc>
          <w:tcPr>
            <w:tcW w:type="dxa" w:w="2520"/>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Proposed</w:t>
            </w:r>
          </w:p>
        </w:tc>
        <w:tc>
          <w:tcPr>
            <w:tcW w:type="dxa" w:w="7056"/>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Shared for review; no reputation impact.</w:t>
            </w:r>
          </w:p>
        </w:tc>
      </w:tr>
      <w:tr>
        <w:trPr>
          <w:cantSplit w:val="true"/>
        </w:trPr>
        <w:tc>
          <w:tcPr>
            <w:tcW w:type="dxa" w:w="2520"/>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Agreed</w:t>
            </w:r>
          </w:p>
        </w:tc>
        <w:tc>
          <w:tcPr>
            <w:tcW w:type="dxa" w:w="7056"/>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Mutually accepted; official terms recorded.</w:t>
            </w:r>
          </w:p>
        </w:tc>
      </w:tr>
      <w:tr>
        <w:trPr>
          <w:cantSplit w:val="true"/>
        </w:trPr>
        <w:tc>
          <w:tcPr>
            <w:tcW w:type="dxa" w:w="2520"/>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In progress</w:t>
            </w:r>
          </w:p>
        </w:tc>
        <w:tc>
          <w:tcPr>
            <w:tcW w:type="dxa" w:w="7056"/>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Delivery period has started.</w:t>
            </w:r>
          </w:p>
        </w:tc>
      </w:tr>
      <w:tr>
        <w:trPr>
          <w:cantSplit w:val="true"/>
        </w:trPr>
        <w:tc>
          <w:tcPr>
            <w:tcW w:type="dxa" w:w="2520"/>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Completed</w:t>
            </w:r>
          </w:p>
        </w:tc>
        <w:tc>
          <w:tcPr>
            <w:tcW w:type="dxa" w:w="7056"/>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Agreed delivery and settlement confirmed.</w:t>
            </w:r>
          </w:p>
        </w:tc>
      </w:tr>
      <w:tr>
        <w:trPr>
          <w:cantSplit w:val="true"/>
        </w:trPr>
        <w:tc>
          <w:tcPr>
            <w:tcW w:type="dxa" w:w="2520"/>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Completed with unhappiness</w:t>
            </w:r>
          </w:p>
        </w:tc>
        <w:tc>
          <w:tcPr>
            <w:tcW w:type="dxa" w:w="7056"/>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Completed, but at least one party reports an unsatisfactory outcome.</w:t>
            </w:r>
          </w:p>
        </w:tc>
      </w:tr>
      <w:tr>
        <w:trPr>
          <w:cantSplit w:val="true"/>
        </w:trPr>
        <w:tc>
          <w:tcPr>
            <w:tcW w:type="dxa" w:w="2520"/>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Unresolved</w:t>
            </w:r>
          </w:p>
        </w:tc>
        <w:tc>
          <w:tcPr>
            <w:tcW w:type="dxa" w:w="7056"/>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A material part of delivery or settlement remains contested or incomplete.</w:t>
            </w:r>
          </w:p>
        </w:tc>
      </w:tr>
      <w:tr>
        <w:trPr>
          <w:cantSplit w:val="true"/>
        </w:trPr>
        <w:tc>
          <w:tcPr>
            <w:tcW w:type="dxa" w:w="2520"/>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Resolved after disagreement</w:t>
            </w:r>
          </w:p>
        </w:tc>
        <w:tc>
          <w:tcPr>
            <w:tcW w:type="dxa" w:w="7056"/>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The parties later acknowledge a workable resolution.</w:t>
            </w:r>
          </w:p>
        </w:tc>
      </w:tr>
      <w:tr>
        <w:trPr>
          <w:cantSplit w:val="true"/>
        </w:trPr>
        <w:tc>
          <w:tcPr>
            <w:tcW w:type="dxa" w:w="2520"/>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Cancelled by agreement</w:t>
            </w:r>
          </w:p>
        </w:tc>
        <w:tc>
          <w:tcPr>
            <w:tcW w:type="dxa" w:w="7056"/>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Both parties accepted cancellation terms.</w:t>
            </w:r>
          </w:p>
        </w:tc>
      </w:tr>
    </w:tbl>
    <w:p>
      <w:pPr>
        <w:spacing w:after="20"/>
      </w:pPr>
    </w:p>
    <w:p>
      <w:pPr>
        <w:pStyle w:val="Heading1"/>
        <w:keepNext/>
        <w:spacing w:before="200" w:after="140"/>
        <w:pBdr>
          <w:bottom w:val="single" w:sz="10" w:space="4" w:color="B8923B"/>
        </w:pBdr>
      </w:pPr>
      <w:r>
        <w:rPr>
          <w:rFonts w:ascii="Liberation Sans" w:hAnsi="Liberation Sans"/>
          <w:b/>
          <w:color w:val="1F2328"/>
          <w:sz w:val="34"/>
        </w:rPr>
        <w:t>7. Benevolent contribution</w:t>
      </w:r>
    </w:p>
    <w:p>
      <w:pPr>
        <w:spacing w:before="0" w:after="120" w:line="269" w:lineRule="auto"/>
      </w:pPr>
      <w:r>
        <w:rPr>
          <w:rFonts w:ascii="Liberation Sans" w:hAnsi="Liberation Sans"/>
          <w:i w:val="0"/>
          <w:color w:val="1F2328"/>
          <w:sz w:val="20"/>
        </w:rPr>
        <w:t>Because only mutually agreed terms enter the ledger, an agreed gap between full value and settlement is voluntary by definition. It does not require a second donation step after completion.</w:t>
      </w:r>
    </w:p>
    <w:tbl>
      <w:tblPr>
        <w:tblW w:type="auto" w:w="0"/>
        <w:jc w:val="center"/>
        <w:tblLayout w:type="fixed"/>
        <w:tblLook w:firstColumn="1" w:firstRow="1" w:lastColumn="0" w:lastRow="0" w:noHBand="0" w:noVBand="1" w:val="04A0"/>
      </w:tblPr>
      <w:tblGrid>
        <w:gridCol w:w="173"/>
        <w:gridCol w:w="9576"/>
      </w:tblGrid>
      <w:tr>
        <w:tc>
          <w:tcPr>
            <w:tcW w:type="dxa" w:w="173"/>
            <w:shd w:fill="3E6B52"/>
            <w:vAlign w:val="center"/>
            <w:tcBorders>
              <w:top w:val="nil"/>
              <w:left w:val="nil"/>
              <w:bottom w:val="nil"/>
              <w:right w:val="nil"/>
            </w:tcBorders>
          </w:tcPr>
          <w:p/>
        </w:tc>
        <w:tc>
          <w:tcPr>
            <w:tcW w:type="dxa" w:w="9576"/>
            <w:shd w:fill="FAF8F2"/>
            <w:vAlign w:val="center"/>
            <w:tcBorders>
              <w:top w:val="nil"/>
              <w:left w:val="nil"/>
              <w:bottom w:val="nil"/>
              <w:right w:val="nil"/>
            </w:tcBorders>
          </w:tcPr>
          <w:p>
            <w:pPr>
              <w:spacing w:after="40"/>
            </w:pPr>
            <w:r>
              <w:rPr>
                <w:rFonts w:ascii="Liberation Sans" w:hAnsi="Liberation Sans"/>
                <w:b/>
                <w:color w:val="1F2328"/>
                <w:sz w:val="20"/>
              </w:rPr>
              <w:t>Settled rule</w:t>
            </w:r>
          </w:p>
          <w:p>
            <w:pPr>
              <w:spacing w:after="0" w:line="259" w:lineRule="auto"/>
            </w:pPr>
            <w:r>
              <w:rPr>
                <w:rFonts w:ascii="Liberation Sans" w:hAnsi="Liberation Sans"/>
                <w:color w:val="1F2328"/>
                <w:sz w:val="19"/>
              </w:rPr>
              <w:t>Agreed value minus agreed settlement is automatically recorded as a benevolent contribution to the world.</w:t>
            </w:r>
          </w:p>
        </w:tc>
      </w:tr>
    </w:tbl>
    <w:p>
      <w:pPr>
        <w:spacing w:after="20"/>
      </w:pPr>
    </w:p>
    <w:p>
      <w:pPr>
        <w:pStyle w:val="Heading2"/>
        <w:keepNext/>
        <w:spacing w:before="160" w:after="80"/>
      </w:pPr>
      <w:r>
        <w:rPr>
          <w:rFonts w:ascii="Liberation Sans" w:hAnsi="Liberation Sans"/>
          <w:b/>
          <w:color w:val="365D75"/>
          <w:sz w:val="25"/>
        </w:rPr>
        <w:t>7.1 Properties</w:t>
      </w:r>
    </w:p>
    <w:p>
      <w:pPr>
        <w:pStyle w:val="ListBullet"/>
        <w:spacing w:before="0" w:after="60" w:line="259" w:lineRule="auto"/>
      </w:pPr>
      <w:r>
        <w:rPr>
          <w:rFonts w:ascii="Liberation Sans" w:hAnsi="Liberation Sans"/>
          <w:color w:val="1F2328"/>
          <w:sz w:val="20"/>
        </w:rPr>
        <w:t>Non-spendable and non-transferable.</w:t>
      </w:r>
    </w:p>
    <w:p>
      <w:pPr>
        <w:pStyle w:val="ListBullet"/>
        <w:spacing w:before="0" w:after="60" w:line="259" w:lineRule="auto"/>
      </w:pPr>
      <w:r>
        <w:rPr>
          <w:rFonts w:ascii="Liberation Sans" w:hAnsi="Liberation Sans"/>
          <w:color w:val="1F2328"/>
          <w:sz w:val="20"/>
        </w:rPr>
        <w:t>Does not create new KW₭.</w:t>
      </w:r>
    </w:p>
    <w:p>
      <w:pPr>
        <w:pStyle w:val="ListBullet"/>
        <w:spacing w:before="0" w:after="60" w:line="259" w:lineRule="auto"/>
      </w:pPr>
      <w:r>
        <w:rPr>
          <w:rFonts w:ascii="Liberation Sans" w:hAnsi="Liberation Sans"/>
          <w:color w:val="1F2328"/>
          <w:sz w:val="20"/>
        </w:rPr>
        <w:t>Does not automatically create advertising credit, ranking priority, or other guaranteed economic privilege.</w:t>
      </w:r>
    </w:p>
    <w:p>
      <w:pPr>
        <w:pStyle w:val="ListBullet"/>
        <w:spacing w:before="0" w:after="60" w:line="259" w:lineRule="auto"/>
      </w:pPr>
      <w:r>
        <w:rPr>
          <w:rFonts w:ascii="Liberation Sans" w:hAnsi="Liberation Sans"/>
          <w:color w:val="1F2328"/>
          <w:sz w:val="20"/>
        </w:rPr>
        <w:t>Transaction-backed and traceable to the agreement that produced it.</w:t>
      </w:r>
    </w:p>
    <w:p>
      <w:pPr>
        <w:pStyle w:val="ListBullet"/>
        <w:spacing w:before="0" w:after="60" w:line="259" w:lineRule="auto"/>
      </w:pPr>
      <w:r>
        <w:rPr>
          <w:rFonts w:ascii="Liberation Sans" w:hAnsi="Liberation Sans"/>
          <w:color w:val="1F2328"/>
          <w:sz w:val="20"/>
        </w:rPr>
        <w:t>Publicly visible only according to the contributor’s chosen profile privacy settings.</w:t>
      </w:r>
    </w:p>
    <w:p>
      <w:pPr>
        <w:pStyle w:val="ListBullet"/>
        <w:spacing w:before="0" w:after="60" w:line="259" w:lineRule="auto"/>
      </w:pPr>
      <w:r>
        <w:rPr>
          <w:rFonts w:ascii="Liberation Sans" w:hAnsi="Liberation Sans"/>
          <w:color w:val="1F2328"/>
          <w:sz w:val="20"/>
        </w:rPr>
        <w:t>Shown separately from unsettled, disputed, or unfulfilled amounts.</w:t>
      </w:r>
    </w:p>
    <w:p>
      <w:pPr>
        <w:pStyle w:val="ListBullet"/>
        <w:spacing w:before="0" w:after="60" w:line="259" w:lineRule="auto"/>
      </w:pPr>
      <w:r>
        <w:rPr>
          <w:rFonts w:ascii="Liberation Sans" w:hAnsi="Liberation Sans"/>
          <w:color w:val="1F2328"/>
          <w:sz w:val="20"/>
        </w:rPr>
        <w:t>May be displayed as lifetime total, recent total, category breakdown, and transaction count.</w:t>
      </w:r>
    </w:p>
    <w:p>
      <w:pPr>
        <w:pStyle w:val="Heading2"/>
        <w:keepNext/>
        <w:spacing w:before="160" w:after="80"/>
      </w:pPr>
      <w:r>
        <w:rPr>
          <w:rFonts w:ascii="Liberation Sans" w:hAnsi="Liberation Sans"/>
          <w:b/>
          <w:color w:val="365D75"/>
          <w:sz w:val="25"/>
        </w:rPr>
        <w:t>7.2 Why recognition is enough</w:t>
      </w:r>
    </w:p>
    <w:p>
      <w:pPr>
        <w:spacing w:before="0" w:after="120" w:line="269" w:lineRule="auto"/>
      </w:pPr>
      <w:r>
        <w:rPr>
          <w:rFonts w:ascii="Liberation Sans" w:hAnsi="Liberation Sans"/>
          <w:i w:val="0"/>
          <w:color w:val="1F2328"/>
          <w:sz w:val="20"/>
        </w:rPr>
        <w:t>A large verified benevolent-contribution number can be a meaningful form of status for people proud of what they have given. Keeping it non-spendable protects the signal: the recognition itself is the reward, not a disguised route to currency creation or platform advantage.</w:t>
      </w:r>
    </w:p>
    <w:p>
      <w:pPr>
        <w:pStyle w:val="Heading1"/>
        <w:keepNext/>
        <w:spacing w:before="200" w:after="140"/>
        <w:pBdr>
          <w:bottom w:val="single" w:sz="10" w:space="4" w:color="B8923B"/>
        </w:pBdr>
      </w:pPr>
      <w:r>
        <w:rPr>
          <w:rFonts w:ascii="Liberation Sans" w:hAnsi="Liberation Sans"/>
          <w:b/>
          <w:color w:val="1F2328"/>
          <w:sz w:val="34"/>
        </w:rPr>
        <w:t>8. Reputation without ratings</w:t>
      </w:r>
    </w:p>
    <w:p>
      <w:pPr>
        <w:spacing w:before="0" w:after="120" w:line="269" w:lineRule="auto"/>
      </w:pPr>
      <w:r>
        <w:rPr>
          <w:rFonts w:ascii="Liberation Sans" w:hAnsi="Liberation Sans"/>
          <w:i w:val="0"/>
          <w:color w:val="1F2328"/>
          <w:sz w:val="20"/>
        </w:rPr>
        <w:t>Reputation is not open commentary and not a five-star score. It is a factual summary of the person’s verified transaction history.</w:t>
      </w:r>
    </w:p>
    <w:p>
      <w:pPr>
        <w:pStyle w:val="Heading2"/>
        <w:keepNext/>
        <w:spacing w:before="160" w:after="80"/>
      </w:pPr>
      <w:r>
        <w:rPr>
          <w:rFonts w:ascii="Liberation Sans" w:hAnsi="Liberation Sans"/>
          <w:b/>
          <w:color w:val="365D75"/>
          <w:sz w:val="25"/>
        </w:rPr>
        <w:t>8.1 Who may affect reputation</w:t>
      </w:r>
    </w:p>
    <w:tbl>
      <w:tblPr>
        <w:tblW w:type="auto" w:w="0"/>
        <w:jc w:val="center"/>
        <w:tblLayout w:type="fixed"/>
        <w:tblLook w:firstColumn="1" w:firstRow="1" w:lastColumn="0" w:lastRow="0" w:noHBand="0" w:noVBand="1" w:val="04A0"/>
      </w:tblPr>
      <w:tblGrid>
        <w:gridCol w:w="173"/>
        <w:gridCol w:w="9576"/>
      </w:tblGrid>
      <w:tr>
        <w:tc>
          <w:tcPr>
            <w:tcW w:type="dxa" w:w="173"/>
            <w:shd w:fill="9B3A35"/>
            <w:vAlign w:val="center"/>
            <w:tcBorders>
              <w:top w:val="nil"/>
              <w:left w:val="nil"/>
              <w:bottom w:val="nil"/>
              <w:right w:val="nil"/>
            </w:tcBorders>
          </w:tcPr>
          <w:p/>
        </w:tc>
        <w:tc>
          <w:tcPr>
            <w:tcW w:type="dxa" w:w="9576"/>
            <w:shd w:fill="FAF8F2"/>
            <w:vAlign w:val="center"/>
            <w:tcBorders>
              <w:top w:val="nil"/>
              <w:left w:val="nil"/>
              <w:bottom w:val="nil"/>
              <w:right w:val="nil"/>
            </w:tcBorders>
          </w:tcPr>
          <w:p>
            <w:pPr>
              <w:spacing w:after="40"/>
            </w:pPr>
            <w:r>
              <w:rPr>
                <w:rFonts w:ascii="Liberation Sans" w:hAnsi="Liberation Sans"/>
                <w:b/>
                <w:color w:val="1F2328"/>
                <w:sz w:val="20"/>
              </w:rPr>
              <w:t>Hard gate</w:t>
            </w:r>
          </w:p>
          <w:p>
            <w:pPr>
              <w:spacing w:after="0" w:line="259" w:lineRule="auto"/>
            </w:pPr>
            <w:r>
              <w:rPr>
                <w:rFonts w:ascii="Liberation Sans" w:hAnsi="Liberation Sans"/>
                <w:color w:val="1F2328"/>
                <w:sz w:val="19"/>
              </w:rPr>
              <w:t>Only a verified party listed in the on-platform transaction may affect that transaction’s reputation outcome. Fans, followers, competitors, outsiders, and mobs have no rating power.</w:t>
            </w:r>
          </w:p>
        </w:tc>
      </w:tr>
    </w:tbl>
    <w:p>
      <w:pPr>
        <w:spacing w:after="20"/>
      </w:pPr>
    </w:p>
    <w:p>
      <w:pPr>
        <w:spacing w:before="0" w:after="120" w:line="269" w:lineRule="auto"/>
      </w:pPr>
      <w:r>
        <w:rPr>
          <w:rFonts w:ascii="Liberation Sans" w:hAnsi="Liberation Sans"/>
          <w:i w:val="0"/>
          <w:color w:val="1F2328"/>
          <w:sz w:val="20"/>
        </w:rPr>
        <w:t>Content-safety reporting may remain a separate moderation function, but it must never alter transactional reputation unless the reporter was an actual party to the deal.</w:t>
      </w:r>
    </w:p>
    <w:p>
      <w:pPr>
        <w:pStyle w:val="Heading2"/>
        <w:keepNext/>
        <w:spacing w:before="160" w:after="80"/>
      </w:pPr>
      <w:r>
        <w:rPr>
          <w:rFonts w:ascii="Liberation Sans" w:hAnsi="Liberation Sans"/>
          <w:b/>
          <w:color w:val="365D75"/>
          <w:sz w:val="25"/>
        </w:rPr>
        <w:t>8.2 Public reputation fields</w:t>
      </w:r>
    </w:p>
    <w:tbl>
      <w:tblPr>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2520"/>
            <w:shd w:fill="1F2328"/>
            <w:vAlign w:val="center"/>
            <w:tcBorders>
              <w:top w:val="single" w:sz="4" w:color="FFFFFF"/>
              <w:left w:val="single" w:sz="4" w:color="FFFFFF"/>
              <w:bottom w:val="single" w:sz="4" w:color="FFFFFF"/>
              <w:right w:val="single" w:sz="4" w:color="FFFFFF"/>
            </w:tcBorders>
          </w:tcPr>
          <w:p>
            <w:pPr>
              <w:spacing w:after="0"/>
              <w:jc w:val="left"/>
            </w:pPr>
            <w:r>
              <w:rPr>
                <w:rFonts w:ascii="Liberation Sans" w:hAnsi="Liberation Sans"/>
                <w:b/>
                <w:color w:val="FFFFFF"/>
                <w:sz w:val="17"/>
              </w:rPr>
              <w:t>Field</w:t>
            </w:r>
          </w:p>
        </w:tc>
        <w:tc>
          <w:tcPr>
            <w:tcW w:type="dxa" w:w="1656"/>
            <w:shd w:fill="1F2328"/>
            <w:vAlign w:val="center"/>
            <w:tcBorders>
              <w:top w:val="single" w:sz="4" w:color="FFFFFF"/>
              <w:left w:val="single" w:sz="4" w:color="FFFFFF"/>
              <w:bottom w:val="single" w:sz="4" w:color="FFFFFF"/>
              <w:right w:val="single" w:sz="4" w:color="FFFFFF"/>
            </w:tcBorders>
          </w:tcPr>
          <w:p>
            <w:pPr>
              <w:spacing w:after="0"/>
              <w:jc w:val="left"/>
            </w:pPr>
            <w:r>
              <w:rPr>
                <w:rFonts w:ascii="Liberation Sans" w:hAnsi="Liberation Sans"/>
                <w:b/>
                <w:color w:val="FFFFFF"/>
                <w:sz w:val="17"/>
              </w:rPr>
              <w:t>Example</w:t>
            </w:r>
          </w:p>
        </w:tc>
        <w:tc>
          <w:tcPr>
            <w:tcW w:type="dxa" w:w="5688"/>
            <w:shd w:fill="1F2328"/>
            <w:vAlign w:val="center"/>
            <w:tcBorders>
              <w:top w:val="single" w:sz="4" w:color="FFFFFF"/>
              <w:left w:val="single" w:sz="4" w:color="FFFFFF"/>
              <w:bottom w:val="single" w:sz="4" w:color="FFFFFF"/>
              <w:right w:val="single" w:sz="4" w:color="FFFFFF"/>
            </w:tcBorders>
          </w:tcPr>
          <w:p>
            <w:pPr>
              <w:spacing w:after="0"/>
              <w:jc w:val="left"/>
            </w:pPr>
            <w:r>
              <w:rPr>
                <w:rFonts w:ascii="Liberation Sans" w:hAnsi="Liberation Sans"/>
                <w:b/>
                <w:color w:val="FFFFFF"/>
                <w:sz w:val="17"/>
              </w:rPr>
              <w:t>Interpretation</w:t>
            </w:r>
          </w:p>
        </w:tc>
      </w:tr>
      <w:tr>
        <w:trPr>
          <w:cantSplit w:val="true"/>
        </w:trPr>
        <w:tc>
          <w:tcPr>
            <w:tcW w:type="dxa" w:w="2520"/>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Completed transactions</w:t>
            </w:r>
          </w:p>
        </w:tc>
        <w:tc>
          <w:tcPr>
            <w:tcW w:type="dxa" w:w="1656"/>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147</w:t>
            </w:r>
          </w:p>
        </w:tc>
        <w:tc>
          <w:tcPr>
            <w:tcW w:type="dxa" w:w="5688"/>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Volume of completed agreements.</w:t>
            </w:r>
          </w:p>
        </w:tc>
      </w:tr>
      <w:tr>
        <w:trPr>
          <w:cantSplit w:val="true"/>
        </w:trPr>
        <w:tc>
          <w:tcPr>
            <w:tcW w:type="dxa" w:w="2520"/>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Transactions marked unhappy</w:t>
            </w:r>
          </w:p>
        </w:tc>
        <w:tc>
          <w:tcPr>
            <w:tcW w:type="dxa" w:w="1656"/>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6</w:t>
            </w:r>
          </w:p>
        </w:tc>
        <w:tc>
          <w:tcPr>
            <w:tcW w:type="dxa" w:w="5688"/>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At least one participant reported unhappiness.</w:t>
            </w:r>
          </w:p>
        </w:tc>
      </w:tr>
      <w:tr>
        <w:trPr>
          <w:cantSplit w:val="true"/>
        </w:trPr>
        <w:tc>
          <w:tcPr>
            <w:tcW w:type="dxa" w:w="2520"/>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Lifetime unhappy rate</w:t>
            </w:r>
          </w:p>
        </w:tc>
        <w:tc>
          <w:tcPr>
            <w:tcW w:type="dxa" w:w="1656"/>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4.1%</w:t>
            </w:r>
          </w:p>
        </w:tc>
        <w:tc>
          <w:tcPr>
            <w:tcW w:type="dxa" w:w="5688"/>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Contextualizes the raw count.</w:t>
            </w:r>
          </w:p>
        </w:tc>
      </w:tr>
      <w:tr>
        <w:trPr>
          <w:cantSplit w:val="true"/>
        </w:trPr>
        <w:tc>
          <w:tcPr>
            <w:tcW w:type="dxa" w:w="2520"/>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Currently unresolved</w:t>
            </w:r>
          </w:p>
        </w:tc>
        <w:tc>
          <w:tcPr>
            <w:tcW w:type="dxa" w:w="1656"/>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1</w:t>
            </w:r>
          </w:p>
        </w:tc>
        <w:tc>
          <w:tcPr>
            <w:tcW w:type="dxa" w:w="5688"/>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Transactions still lacking a mutually acknowledged resolution.</w:t>
            </w:r>
          </w:p>
        </w:tc>
      </w:tr>
      <w:tr>
        <w:trPr>
          <w:cantSplit w:val="true"/>
        </w:trPr>
        <w:tc>
          <w:tcPr>
            <w:tcW w:type="dxa" w:w="2520"/>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Resolved after disagreement</w:t>
            </w:r>
          </w:p>
        </w:tc>
        <w:tc>
          <w:tcPr>
            <w:tcW w:type="dxa" w:w="1656"/>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4</w:t>
            </w:r>
          </w:p>
        </w:tc>
        <w:tc>
          <w:tcPr>
            <w:tcW w:type="dxa" w:w="5688"/>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Shows repair, not merely conflict.</w:t>
            </w:r>
          </w:p>
        </w:tc>
      </w:tr>
      <w:tr>
        <w:trPr>
          <w:cantSplit w:val="true"/>
        </w:trPr>
        <w:tc>
          <w:tcPr>
            <w:tcW w:type="dxa" w:w="2520"/>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Recent unhappy rate</w:t>
            </w:r>
          </w:p>
        </w:tc>
        <w:tc>
          <w:tcPr>
            <w:tcW w:type="dxa" w:w="1656"/>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1.2%</w:t>
            </w:r>
          </w:p>
        </w:tc>
        <w:tc>
          <w:tcPr>
            <w:tcW w:type="dxa" w:w="5688"/>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Provides recency without erasing history.</w:t>
            </w:r>
          </w:p>
        </w:tc>
      </w:tr>
    </w:tbl>
    <w:p>
      <w:pPr>
        <w:spacing w:after="20"/>
      </w:pPr>
    </w:p>
    <w:p>
      <w:pPr>
        <w:pStyle w:val="Heading2"/>
        <w:keepNext/>
        <w:spacing w:before="160" w:after="80"/>
      </w:pPr>
      <w:r>
        <w:rPr>
          <w:rFonts w:ascii="Liberation Sans" w:hAnsi="Liberation Sans"/>
          <w:b/>
          <w:color w:val="365D75"/>
          <w:sz w:val="25"/>
        </w:rPr>
        <w:t>8.3 No guilt verdict</w:t>
      </w:r>
    </w:p>
    <w:p>
      <w:pPr>
        <w:spacing w:before="0" w:after="120" w:line="269" w:lineRule="auto"/>
      </w:pPr>
      <w:r>
        <w:rPr>
          <w:rFonts w:ascii="Liberation Sans" w:hAnsi="Liberation Sans"/>
          <w:i w:val="0"/>
          <w:color w:val="1F2328"/>
          <w:sz w:val="20"/>
        </w:rPr>
        <w:t>The platform does not label a participant guilty, innocent, victim, complainer, difficult, or trustworthy. It shows what happened procedurally: a real transaction existed, one or both parties were unhappy, and the matter is resolved or unresolved.</w:t>
      </w:r>
    </w:p>
    <w:p>
      <w:pPr>
        <w:pStyle w:val="Heading1"/>
        <w:keepNext/>
        <w:spacing w:before="200" w:after="140"/>
        <w:pBdr>
          <w:bottom w:val="single" w:sz="10" w:space="4" w:color="B8923B"/>
        </w:pBdr>
      </w:pPr>
      <w:r>
        <w:rPr>
          <w:rFonts w:ascii="Liberation Sans" w:hAnsi="Liberation Sans"/>
          <w:b/>
          <w:color w:val="1F2328"/>
          <w:sz w:val="34"/>
        </w:rPr>
        <w:t>9. Fair-AI negotiation room</w:t>
      </w:r>
    </w:p>
    <w:p>
      <w:pPr>
        <w:pStyle w:val="Heading2"/>
        <w:keepNext/>
        <w:spacing w:before="160" w:after="80"/>
      </w:pPr>
      <w:r>
        <w:rPr>
          <w:rFonts w:ascii="Liberation Sans" w:hAnsi="Liberation Sans"/>
          <w:b/>
          <w:color w:val="365D75"/>
          <w:sz w:val="25"/>
        </w:rPr>
        <w:t>9.1 User experience</w:t>
      </w:r>
    </w:p>
    <w:p>
      <w:pPr>
        <w:spacing w:before="0" w:after="120" w:line="269" w:lineRule="auto"/>
      </w:pPr>
      <w:r>
        <w:rPr>
          <w:rFonts w:ascii="Liberation Sans" w:hAnsi="Liberation Sans"/>
          <w:i w:val="0"/>
          <w:color w:val="1F2328"/>
          <w:sz w:val="20"/>
        </w:rPr>
        <w:t>A common user begins with a natural-language description rather than a calculator form. Example: “We are a five-person band playing one hour. The venue can pay $200. We bring our gear, drive separately, and expect about sixty people.”</w:t>
      </w:r>
    </w:p>
    <w:p>
      <w:pPr>
        <w:spacing w:before="0" w:after="120" w:line="269" w:lineRule="auto"/>
      </w:pPr>
      <w:r>
        <w:rPr>
          <w:rFonts w:ascii="Liberation Sans" w:hAnsi="Liberation Sans"/>
          <w:i w:val="0"/>
          <w:color w:val="1F2328"/>
          <w:sz w:val="20"/>
        </w:rPr>
        <w:t>The AI identifies unseen components, asks concise clarifying questions, and returns a deal map in KW₭. The user can inspect the assumptions, revise them, or open the full calculator.</w:t>
      </w:r>
    </w:p>
    <w:p>
      <w:pPr>
        <w:pStyle w:val="Heading2"/>
        <w:keepNext/>
        <w:spacing w:before="160" w:after="80"/>
      </w:pPr>
      <w:r>
        <w:rPr>
          <w:rFonts w:ascii="Liberation Sans" w:hAnsi="Liberation Sans"/>
          <w:b/>
          <w:color w:val="365D75"/>
          <w:sz w:val="25"/>
        </w:rPr>
        <w:t>9.2 Mediator output</w:t>
      </w:r>
    </w:p>
    <w:p>
      <w:pPr>
        <w:pStyle w:val="ListBullet"/>
        <w:spacing w:before="0" w:after="60" w:line="259" w:lineRule="auto"/>
      </w:pPr>
      <w:r>
        <w:rPr>
          <w:rFonts w:ascii="Liberation Sans" w:hAnsi="Liberation Sans"/>
          <w:color w:val="1F2328"/>
          <w:sz w:val="20"/>
        </w:rPr>
        <w:t>Shared facts and assumptions.</w:t>
      </w:r>
    </w:p>
    <w:p>
      <w:pPr>
        <w:pStyle w:val="ListBullet"/>
        <w:spacing w:before="0" w:after="60" w:line="259" w:lineRule="auto"/>
      </w:pPr>
      <w:r>
        <w:rPr>
          <w:rFonts w:ascii="Liberation Sans" w:hAnsi="Liberation Sans"/>
          <w:color w:val="1F2328"/>
          <w:sz w:val="20"/>
        </w:rPr>
        <w:t>Invoice-mode estimate and full-value estimate in KW₭.</w:t>
      </w:r>
    </w:p>
    <w:p>
      <w:pPr>
        <w:pStyle w:val="ListBullet"/>
        <w:spacing w:before="0" w:after="60" w:line="259" w:lineRule="auto"/>
      </w:pPr>
      <w:r>
        <w:rPr>
          <w:rFonts w:ascii="Liberation Sans" w:hAnsi="Liberation Sans"/>
          <w:color w:val="1F2328"/>
          <w:sz w:val="20"/>
        </w:rPr>
        <w:t>Agreed settlement options, including concrete non-cash value.</w:t>
      </w:r>
    </w:p>
    <w:p>
      <w:pPr>
        <w:pStyle w:val="ListBullet"/>
        <w:spacing w:before="0" w:after="60" w:line="259" w:lineRule="auto"/>
      </w:pPr>
      <w:r>
        <w:rPr>
          <w:rFonts w:ascii="Liberation Sans" w:hAnsi="Liberation Sans"/>
          <w:color w:val="1F2328"/>
          <w:sz w:val="20"/>
        </w:rPr>
        <w:t>Benevolent contribution implied by each option.</w:t>
      </w:r>
    </w:p>
    <w:p>
      <w:pPr>
        <w:pStyle w:val="ListBullet"/>
        <w:spacing w:before="0" w:after="60" w:line="259" w:lineRule="auto"/>
      </w:pPr>
      <w:r>
        <w:rPr>
          <w:rFonts w:ascii="Liberation Sans" w:hAnsi="Liberation Sans"/>
          <w:color w:val="1F2328"/>
          <w:sz w:val="20"/>
        </w:rPr>
        <w:t>Obligations, deadlines, permissions, rights, cancellation terms, and risk allocation.</w:t>
      </w:r>
    </w:p>
    <w:p>
      <w:pPr>
        <w:pStyle w:val="ListBullet"/>
        <w:spacing w:before="0" w:after="60" w:line="259" w:lineRule="auto"/>
      </w:pPr>
      <w:r>
        <w:rPr>
          <w:rFonts w:ascii="Liberation Sans" w:hAnsi="Liberation Sans"/>
          <w:color w:val="1F2328"/>
          <w:sz w:val="20"/>
        </w:rPr>
        <w:t>A plain-language fairness explanation and uncertainty statement.</w:t>
      </w:r>
    </w:p>
    <w:p>
      <w:pPr>
        <w:pStyle w:val="ListBullet"/>
        <w:spacing w:before="0" w:after="60" w:line="259" w:lineRule="auto"/>
      </w:pPr>
      <w:r>
        <w:rPr>
          <w:rFonts w:ascii="Liberation Sans" w:hAnsi="Liberation Sans"/>
          <w:color w:val="1F2328"/>
          <w:sz w:val="20"/>
        </w:rPr>
        <w:t>Accept, reject, or revise controls for each party.</w:t>
      </w:r>
    </w:p>
    <w:p>
      <w:pPr>
        <w:pStyle w:val="Heading2"/>
        <w:keepNext/>
        <w:spacing w:before="160" w:after="80"/>
      </w:pPr>
      <w:r>
        <w:rPr>
          <w:rFonts w:ascii="Liberation Sans" w:hAnsi="Liberation Sans"/>
          <w:b/>
          <w:color w:val="365D75"/>
          <w:sz w:val="25"/>
        </w:rPr>
        <w:t>9.3 AI limits</w:t>
      </w:r>
    </w:p>
    <w:p>
      <w:pPr>
        <w:pStyle w:val="ListBullet"/>
        <w:spacing w:before="0" w:after="60" w:line="259" w:lineRule="auto"/>
      </w:pPr>
      <w:r>
        <w:rPr>
          <w:rFonts w:ascii="Liberation Sans" w:hAnsi="Liberation Sans"/>
          <w:color w:val="1F2328"/>
          <w:sz w:val="20"/>
        </w:rPr>
        <w:t>May infer ordinary missing structure, but must label assumptions.</w:t>
      </w:r>
    </w:p>
    <w:p>
      <w:pPr>
        <w:pStyle w:val="ListBullet"/>
        <w:spacing w:before="0" w:after="60" w:line="259" w:lineRule="auto"/>
      </w:pPr>
      <w:r>
        <w:rPr>
          <w:rFonts w:ascii="Liberation Sans" w:hAnsi="Liberation Sans"/>
          <w:color w:val="1F2328"/>
          <w:sz w:val="20"/>
        </w:rPr>
        <w:t>May not disclose a party’s private minimum, maximum, or motive without permission.</w:t>
      </w:r>
    </w:p>
    <w:p>
      <w:pPr>
        <w:pStyle w:val="ListBullet"/>
        <w:spacing w:before="0" w:after="60" w:line="259" w:lineRule="auto"/>
      </w:pPr>
      <w:r>
        <w:rPr>
          <w:rFonts w:ascii="Liberation Sans" w:hAnsi="Liberation Sans"/>
          <w:color w:val="1F2328"/>
          <w:sz w:val="20"/>
        </w:rPr>
        <w:t>May not claim that a deal is objectively fair merely because both parties accepted it.</w:t>
      </w:r>
    </w:p>
    <w:p>
      <w:pPr>
        <w:pStyle w:val="ListBullet"/>
        <w:spacing w:before="0" w:after="60" w:line="259" w:lineRule="auto"/>
      </w:pPr>
      <w:r>
        <w:rPr>
          <w:rFonts w:ascii="Liberation Sans" w:hAnsi="Liberation Sans"/>
          <w:color w:val="1F2328"/>
          <w:sz w:val="20"/>
        </w:rPr>
        <w:t>May not present vague “exposure” as settlement without concrete deliverables.</w:t>
      </w:r>
    </w:p>
    <w:p>
      <w:pPr>
        <w:pStyle w:val="ListBullet"/>
        <w:spacing w:before="0" w:after="60" w:line="259" w:lineRule="auto"/>
      </w:pPr>
      <w:r>
        <w:rPr>
          <w:rFonts w:ascii="Liberation Sans" w:hAnsi="Liberation Sans"/>
          <w:color w:val="1F2328"/>
          <w:sz w:val="20"/>
        </w:rPr>
        <w:t>May not alter the formula or coefficient silently.</w:t>
      </w:r>
    </w:p>
    <w:p>
      <w:pPr>
        <w:pStyle w:val="ListBullet"/>
        <w:spacing w:before="0" w:after="60" w:line="259" w:lineRule="auto"/>
      </w:pPr>
      <w:r>
        <w:rPr>
          <w:rFonts w:ascii="Liberation Sans" w:hAnsi="Liberation Sans"/>
          <w:color w:val="1F2328"/>
          <w:sz w:val="20"/>
        </w:rPr>
        <w:t>May not create or spend currency.</w:t>
      </w:r>
    </w:p>
    <w:p>
      <w:pPr>
        <w:pStyle w:val="ListBullet"/>
        <w:spacing w:before="0" w:after="60" w:line="259" w:lineRule="auto"/>
      </w:pPr>
      <w:r>
        <w:rPr>
          <w:rFonts w:ascii="Liberation Sans" w:hAnsi="Liberation Sans"/>
          <w:color w:val="1F2328"/>
          <w:sz w:val="20"/>
        </w:rPr>
        <w:t>May not enforce the agreement or decide guilt.</w:t>
      </w:r>
    </w:p>
    <w:p>
      <w:pPr>
        <w:pStyle w:val="Heading1"/>
        <w:keepNext/>
        <w:spacing w:before="200" w:after="140"/>
        <w:pBdr>
          <w:bottom w:val="single" w:sz="10" w:space="4" w:color="B8923B"/>
        </w:pBdr>
      </w:pPr>
      <w:r>
        <w:rPr>
          <w:rFonts w:ascii="Liberation Sans" w:hAnsi="Liberation Sans"/>
          <w:b/>
          <w:color w:val="1F2328"/>
          <w:sz w:val="34"/>
        </w:rPr>
        <w:t>10. Band-show worked example</w:t>
      </w:r>
    </w:p>
    <w:p>
      <w:pPr>
        <w:spacing w:before="0" w:after="120" w:line="269" w:lineRule="auto"/>
      </w:pPr>
      <w:r>
        <w:rPr>
          <w:rFonts w:ascii="Liberation Sans" w:hAnsi="Liberation Sans"/>
          <w:i w:val="0"/>
          <w:color w:val="1F2328"/>
          <w:sz w:val="20"/>
        </w:rPr>
        <w:t>Scenario: five musicians—two guitarists, one drummer, one bassist, and one lead singer—play a one-hour local show. The venue offers CAD $200. The band brings equipment and each member spends approximately CAD $30 on fuel. Exact values below are illustrative until the final preset is calibrated.</w:t>
      </w:r>
    </w:p>
    <w:p>
      <w:pPr>
        <w:pStyle w:val="Heading2"/>
        <w:keepNext/>
        <w:spacing w:before="160" w:after="80"/>
      </w:pPr>
      <w:r>
        <w:rPr>
          <w:rFonts w:ascii="Liberation Sans" w:hAnsi="Liberation Sans"/>
          <w:b/>
          <w:color w:val="365D75"/>
          <w:sz w:val="25"/>
        </w:rPr>
        <w:t>10.1 Example value map</w:t>
      </w:r>
    </w:p>
    <w:tbl>
      <w:tblPr>
        <w:tblW w:type="auto" w:w="0"/>
        <w:jc w:val="center"/>
        <w:tblLayout w:type="fixed"/>
        <w:tblLook w:firstColumn="1" w:firstRow="1" w:lastColumn="0" w:lastRow="0" w:noHBand="0" w:noVBand="1" w:val="04A0"/>
      </w:tblPr>
      <w:tblGrid>
        <w:gridCol w:w="3331"/>
        <w:gridCol w:w="3331"/>
        <w:gridCol w:w="3331"/>
      </w:tblGrid>
      <w:tr>
        <w:trPr>
          <w:tblHeader w:val="true"/>
          <w:cantSplit w:val="true"/>
        </w:trPr>
        <w:tc>
          <w:tcPr>
            <w:tcW w:type="dxa" w:w="3312"/>
            <w:shd w:fill="1F2328"/>
            <w:vAlign w:val="center"/>
            <w:tcBorders>
              <w:top w:val="single" w:sz="4" w:color="FFFFFF"/>
              <w:left w:val="single" w:sz="4" w:color="FFFFFF"/>
              <w:bottom w:val="single" w:sz="4" w:color="FFFFFF"/>
              <w:right w:val="single" w:sz="4" w:color="FFFFFF"/>
            </w:tcBorders>
          </w:tcPr>
          <w:p>
            <w:pPr>
              <w:spacing w:after="0"/>
              <w:jc w:val="left"/>
            </w:pPr>
            <w:r>
              <w:rPr>
                <w:rFonts w:ascii="Liberation Sans" w:hAnsi="Liberation Sans"/>
                <w:b/>
                <w:color w:val="FFFFFF"/>
                <w:sz w:val="17"/>
              </w:rPr>
              <w:t>Component</w:t>
            </w:r>
          </w:p>
        </w:tc>
        <w:tc>
          <w:tcPr>
            <w:tcW w:type="dxa" w:w="1800"/>
            <w:shd w:fill="1F2328"/>
            <w:vAlign w:val="center"/>
            <w:tcBorders>
              <w:top w:val="single" w:sz="4" w:color="FFFFFF"/>
              <w:left w:val="single" w:sz="4" w:color="FFFFFF"/>
              <w:bottom w:val="single" w:sz="4" w:color="FFFFFF"/>
              <w:right w:val="single" w:sz="4" w:color="FFFFFF"/>
            </w:tcBorders>
          </w:tcPr>
          <w:p>
            <w:pPr>
              <w:spacing w:after="0"/>
              <w:jc w:val="left"/>
            </w:pPr>
            <w:r>
              <w:rPr>
                <w:rFonts w:ascii="Liberation Sans" w:hAnsi="Liberation Sans"/>
                <w:b/>
                <w:color w:val="FFFFFF"/>
                <w:sz w:val="17"/>
              </w:rPr>
              <w:t>Illustrative KW₭</w:t>
            </w:r>
          </w:p>
        </w:tc>
        <w:tc>
          <w:tcPr>
            <w:tcW w:type="dxa" w:w="4752"/>
            <w:shd w:fill="1F2328"/>
            <w:vAlign w:val="center"/>
            <w:tcBorders>
              <w:top w:val="single" w:sz="4" w:color="FFFFFF"/>
              <w:left w:val="single" w:sz="4" w:color="FFFFFF"/>
              <w:bottom w:val="single" w:sz="4" w:color="FFFFFF"/>
              <w:right w:val="single" w:sz="4" w:color="FFFFFF"/>
            </w:tcBorders>
          </w:tcPr>
          <w:p>
            <w:pPr>
              <w:spacing w:after="0"/>
              <w:jc w:val="left"/>
            </w:pPr>
            <w:r>
              <w:rPr>
                <w:rFonts w:ascii="Liberation Sans" w:hAnsi="Liberation Sans"/>
                <w:b/>
                <w:color w:val="FFFFFF"/>
                <w:sz w:val="17"/>
              </w:rPr>
              <w:t>Notes</w:t>
            </w:r>
          </w:p>
        </w:tc>
      </w:tr>
      <w:tr>
        <w:trPr>
          <w:cantSplit w:val="true"/>
        </w:trPr>
        <w:tc>
          <w:tcPr>
            <w:tcW w:type="dxa" w:w="3312"/>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Direct performance and event labour</w:t>
            </w:r>
          </w:p>
        </w:tc>
        <w:tc>
          <w:tcPr>
            <w:tcW w:type="dxa" w:w="1800"/>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5,600</w:t>
            </w:r>
          </w:p>
        </w:tc>
        <w:tc>
          <w:tcPr>
            <w:tcW w:type="dxa" w:w="4752"/>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Performance, setup, teardown, coordination.</w:t>
            </w:r>
          </w:p>
        </w:tc>
      </w:tr>
      <w:tr>
        <w:trPr>
          <w:cantSplit w:val="true"/>
        </w:trPr>
        <w:tc>
          <w:tcPr>
            <w:tcW w:type="dxa" w:w="3312"/>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Travel and fuel</w:t>
            </w:r>
          </w:p>
        </w:tc>
        <w:tc>
          <w:tcPr>
            <w:tcW w:type="dxa" w:w="1800"/>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1,500</w:t>
            </w:r>
          </w:p>
        </w:tc>
        <w:tc>
          <w:tcPr>
            <w:tcW w:type="dxa" w:w="4752"/>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Human travel plus external fuel settlement translated into energy.</w:t>
            </w:r>
          </w:p>
        </w:tc>
      </w:tr>
      <w:tr>
        <w:trPr>
          <w:cantSplit w:val="true"/>
        </w:trPr>
        <w:tc>
          <w:tcPr>
            <w:tcW w:type="dxa" w:w="3312"/>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Equipment deployment</w:t>
            </w:r>
          </w:p>
        </w:tc>
        <w:tc>
          <w:tcPr>
            <w:tcW w:type="dxa" w:w="1800"/>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600</w:t>
            </w:r>
          </w:p>
        </w:tc>
        <w:tc>
          <w:tcPr>
            <w:tcW w:type="dxa" w:w="4752"/>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Amplifiers, pedals, instruments, transport, and wear.</w:t>
            </w:r>
          </w:p>
        </w:tc>
      </w:tr>
      <w:tr>
        <w:trPr>
          <w:cantSplit w:val="true"/>
        </w:trPr>
        <w:tc>
          <w:tcPr>
            <w:tcW w:type="dxa" w:w="3312"/>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Reusable preparation activated</w:t>
            </w:r>
          </w:p>
        </w:tc>
        <w:tc>
          <w:tcPr>
            <w:tcW w:type="dxa" w:w="1800"/>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2,300</w:t>
            </w:r>
          </w:p>
        </w:tc>
        <w:tc>
          <w:tcPr>
            <w:tcW w:type="dxa" w:w="4752"/>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Repertoire and rehearsal value visible in full-value mode.</w:t>
            </w:r>
          </w:p>
        </w:tc>
      </w:tr>
      <w:tr>
        <w:trPr>
          <w:cantSplit w:val="true"/>
        </w:trPr>
        <w:tc>
          <w:tcPr>
            <w:tcW w:type="dxa" w:w="3312"/>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Full agreed value</w:t>
            </w:r>
          </w:p>
        </w:tc>
        <w:tc>
          <w:tcPr>
            <w:tcW w:type="dxa" w:w="1800"/>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10,000</w:t>
            </w:r>
          </w:p>
        </w:tc>
        <w:tc>
          <w:tcPr>
            <w:tcW w:type="dxa" w:w="4752"/>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Illustrative mutually accepted full-value figure.</w:t>
            </w:r>
          </w:p>
        </w:tc>
      </w:tr>
      <w:tr>
        <w:trPr>
          <w:cantSplit w:val="true"/>
        </w:trPr>
        <w:tc>
          <w:tcPr>
            <w:tcW w:type="dxa" w:w="3312"/>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Agreed settlement</w:t>
            </w:r>
          </w:p>
        </w:tc>
        <w:tc>
          <w:tcPr>
            <w:tcW w:type="dxa" w:w="1800"/>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2,500</w:t>
            </w:r>
          </w:p>
        </w:tc>
        <w:tc>
          <w:tcPr>
            <w:tcW w:type="dxa" w:w="4752"/>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Equivalent of CAD $200 at the selected agreement bridge.</w:t>
            </w:r>
          </w:p>
        </w:tc>
      </w:tr>
      <w:tr>
        <w:trPr>
          <w:cantSplit w:val="true"/>
        </w:trPr>
        <w:tc>
          <w:tcPr>
            <w:tcW w:type="dxa" w:w="3312"/>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Benevolent contribution</w:t>
            </w:r>
          </w:p>
        </w:tc>
        <w:tc>
          <w:tcPr>
            <w:tcW w:type="dxa" w:w="1800"/>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7,500</w:t>
            </w:r>
          </w:p>
        </w:tc>
        <w:tc>
          <w:tcPr>
            <w:tcW w:type="dxa" w:w="4752"/>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Automatically recorded because it was knowingly agreed.</w:t>
            </w:r>
          </w:p>
        </w:tc>
      </w:tr>
    </w:tbl>
    <w:p>
      <w:pPr>
        <w:spacing w:after="20"/>
      </w:pPr>
    </w:p>
    <w:p>
      <w:pPr>
        <w:pStyle w:val="Heading2"/>
        <w:keepNext/>
        <w:spacing w:before="160" w:after="80"/>
      </w:pPr>
      <w:r>
        <w:rPr>
          <w:rFonts w:ascii="Liberation Sans" w:hAnsi="Liberation Sans"/>
          <w:b/>
          <w:color w:val="365D75"/>
          <w:sz w:val="25"/>
        </w:rPr>
        <w:t>10.2 Outcome variations</w:t>
      </w:r>
    </w:p>
    <w:tbl>
      <w:tblPr>
        <w:tblW w:type="auto" w:w="0"/>
        <w:jc w:val="center"/>
        <w:tblLayout w:type="fixed"/>
        <w:tblLook w:firstColumn="1" w:firstRow="1" w:lastColumn="0" w:lastRow="0" w:noHBand="0" w:noVBand="1" w:val="04A0"/>
      </w:tblPr>
      <w:tblGrid>
        <w:gridCol w:w="4997"/>
        <w:gridCol w:w="4997"/>
      </w:tblGrid>
      <w:tr>
        <w:trPr>
          <w:tblHeader w:val="true"/>
          <w:cantSplit w:val="true"/>
        </w:trPr>
        <w:tc>
          <w:tcPr>
            <w:tcW w:type="dxa" w:w="3600"/>
            <w:shd w:fill="1F2328"/>
            <w:vAlign w:val="center"/>
            <w:tcBorders>
              <w:top w:val="single" w:sz="4" w:color="FFFFFF"/>
              <w:left w:val="single" w:sz="4" w:color="FFFFFF"/>
              <w:bottom w:val="single" w:sz="4" w:color="FFFFFF"/>
              <w:right w:val="single" w:sz="4" w:color="FFFFFF"/>
            </w:tcBorders>
          </w:tcPr>
          <w:p>
            <w:pPr>
              <w:spacing w:after="0"/>
              <w:jc w:val="left"/>
            </w:pPr>
            <w:r>
              <w:rPr>
                <w:rFonts w:ascii="Liberation Sans" w:hAnsi="Liberation Sans"/>
                <w:b/>
                <w:color w:val="FFFFFF"/>
                <w:sz w:val="17"/>
              </w:rPr>
              <w:t>Outcome</w:t>
            </w:r>
          </w:p>
        </w:tc>
        <w:tc>
          <w:tcPr>
            <w:tcW w:type="dxa" w:w="6264"/>
            <w:shd w:fill="1F2328"/>
            <w:vAlign w:val="center"/>
            <w:tcBorders>
              <w:top w:val="single" w:sz="4" w:color="FFFFFF"/>
              <w:left w:val="single" w:sz="4" w:color="FFFFFF"/>
              <w:bottom w:val="single" w:sz="4" w:color="FFFFFF"/>
              <w:right w:val="single" w:sz="4" w:color="FFFFFF"/>
            </w:tcBorders>
          </w:tcPr>
          <w:p>
            <w:pPr>
              <w:spacing w:after="0"/>
              <w:jc w:val="left"/>
            </w:pPr>
            <w:r>
              <w:rPr>
                <w:rFonts w:ascii="Liberation Sans" w:hAnsi="Liberation Sans"/>
                <w:b/>
                <w:color w:val="FFFFFF"/>
                <w:sz w:val="17"/>
              </w:rPr>
              <w:t>Ledger result</w:t>
            </w:r>
          </w:p>
        </w:tc>
      </w:tr>
      <w:tr>
        <w:trPr>
          <w:cantSplit w:val="true"/>
        </w:trPr>
        <w:tc>
          <w:tcPr>
            <w:tcW w:type="dxa" w:w="3600"/>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Venue delivers the full agreed settlement</w:t>
            </w:r>
          </w:p>
        </w:tc>
        <w:tc>
          <w:tcPr>
            <w:tcW w:type="dxa" w:w="6264"/>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Transaction completed; 7,500 KW₭ benevolent contribution recorded.</w:t>
            </w:r>
          </w:p>
        </w:tc>
      </w:tr>
      <w:tr>
        <w:trPr>
          <w:cantSplit w:val="true"/>
        </w:trPr>
        <w:tc>
          <w:tcPr>
            <w:tcW w:type="dxa" w:w="3600"/>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Venue promised 2,500 KW₭ but delivers only 1,500</w:t>
            </w:r>
          </w:p>
        </w:tc>
        <w:tc>
          <w:tcPr>
            <w:tcW w:type="dxa" w:w="6264"/>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1,000 KW₭ unfulfilled obligation; benevolent contribution remains 7,500, not 8,500.</w:t>
            </w:r>
          </w:p>
        </w:tc>
      </w:tr>
      <w:tr>
        <w:trPr>
          <w:cantSplit w:val="true"/>
        </w:trPr>
        <w:tc>
          <w:tcPr>
            <w:tcW w:type="dxa" w:w="3600"/>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Band and venue revise the deal before performance</w:t>
            </w:r>
          </w:p>
        </w:tc>
        <w:tc>
          <w:tcPr>
            <w:tcW w:type="dxa" w:w="6264"/>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A new agreement version is accepted; only the latest accepted terms govern.</w:t>
            </w:r>
          </w:p>
        </w:tc>
      </w:tr>
      <w:tr>
        <w:trPr>
          <w:cantSplit w:val="true"/>
        </w:trPr>
        <w:tc>
          <w:tcPr>
            <w:tcW w:type="dxa" w:w="3600"/>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A fan dislikes the band and tries to rate them</w:t>
            </w:r>
          </w:p>
        </w:tc>
        <w:tc>
          <w:tcPr>
            <w:tcW w:type="dxa" w:w="6264"/>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No effect: the fan was not a transaction party.</w:t>
            </w:r>
          </w:p>
        </w:tc>
      </w:tr>
    </w:tbl>
    <w:p>
      <w:pPr>
        <w:spacing w:after="20"/>
      </w:pPr>
    </w:p>
    <w:p>
      <w:pPr>
        <w:pStyle w:val="Heading1"/>
        <w:keepNext/>
        <w:spacing w:before="200" w:after="140"/>
        <w:pBdr>
          <w:bottom w:val="single" w:sz="10" w:space="4" w:color="B8923B"/>
        </w:pBdr>
      </w:pPr>
      <w:r>
        <w:rPr>
          <w:rFonts w:ascii="Liberation Sans" w:hAnsi="Liberation Sans"/>
          <w:b/>
          <w:color w:val="1F2328"/>
          <w:sz w:val="34"/>
        </w:rPr>
        <w:t>11. MVP scope and build sequence</w:t>
      </w:r>
    </w:p>
    <w:p>
      <w:pPr>
        <w:pStyle w:val="Heading2"/>
        <w:keepNext/>
        <w:spacing w:before="160" w:after="80"/>
      </w:pPr>
      <w:r>
        <w:rPr>
          <w:rFonts w:ascii="Liberation Sans" w:hAnsi="Liberation Sans"/>
          <w:b/>
          <w:color w:val="365D75"/>
          <w:sz w:val="25"/>
        </w:rPr>
        <w:t>Phase 1 — Protocol and kernel contract</w:t>
      </w:r>
    </w:p>
    <w:p>
      <w:pPr>
        <w:pStyle w:val="ListNumber"/>
        <w:spacing w:before="0" w:after="60" w:line="259" w:lineRule="auto"/>
      </w:pPr>
      <w:r>
        <w:rPr>
          <w:rFonts w:ascii="Liberation Sans" w:hAnsi="Liberation Sans"/>
          <w:color w:val="1F2328"/>
          <w:sz w:val="20"/>
        </w:rPr>
        <w:t>Finalize the value ontology and formula vocabulary.</w:t>
      </w:r>
    </w:p>
    <w:p>
      <w:pPr>
        <w:pStyle w:val="ListNumber"/>
        <w:spacing w:before="0" w:after="60" w:line="259" w:lineRule="auto"/>
      </w:pPr>
      <w:r>
        <w:rPr>
          <w:rFonts w:ascii="Liberation Sans" w:hAnsi="Liberation Sans"/>
          <w:color w:val="1F2328"/>
          <w:sz w:val="20"/>
        </w:rPr>
        <w:t>Define preset versioning and confidence rules.</w:t>
      </w:r>
    </w:p>
    <w:p>
      <w:pPr>
        <w:pStyle w:val="ListNumber"/>
        <w:spacing w:before="0" w:after="60" w:line="259" w:lineRule="auto"/>
      </w:pPr>
      <w:r>
        <w:rPr>
          <w:rFonts w:ascii="Liberation Sans" w:hAnsi="Liberation Sans"/>
          <w:color w:val="1F2328"/>
          <w:sz w:val="20"/>
        </w:rPr>
        <w:t>Expose the existing calculator as a deterministic internal service without changing H_i = 625.</w:t>
      </w:r>
    </w:p>
    <w:p>
      <w:pPr>
        <w:pStyle w:val="ListNumber"/>
        <w:spacing w:before="0" w:after="60" w:line="259" w:lineRule="auto"/>
      </w:pPr>
      <w:r>
        <w:rPr>
          <w:rFonts w:ascii="Liberation Sans" w:hAnsi="Liberation Sans"/>
          <w:color w:val="1F2328"/>
          <w:sz w:val="20"/>
        </w:rPr>
        <w:t>Implement invoice mode, full-value mode, benevolent contribution, and unfulfilled obligation.</w:t>
      </w:r>
    </w:p>
    <w:p>
      <w:pPr>
        <w:pStyle w:val="Heading2"/>
        <w:keepNext/>
        <w:spacing w:before="160" w:after="80"/>
      </w:pPr>
      <w:r>
        <w:rPr>
          <w:rFonts w:ascii="Liberation Sans" w:hAnsi="Liberation Sans"/>
          <w:b/>
          <w:color w:val="365D75"/>
          <w:sz w:val="25"/>
        </w:rPr>
        <w:t>Phase 2 — Single-party Fair Deal Interview</w:t>
      </w:r>
    </w:p>
    <w:p>
      <w:pPr>
        <w:pStyle w:val="ListNumber"/>
        <w:spacing w:before="0" w:after="60" w:line="259" w:lineRule="auto"/>
      </w:pPr>
      <w:r>
        <w:rPr>
          <w:rFonts w:ascii="Liberation Sans" w:hAnsi="Liberation Sans"/>
          <w:color w:val="1F2328"/>
          <w:sz w:val="20"/>
        </w:rPr>
        <w:t>Natural-language intake.</w:t>
      </w:r>
    </w:p>
    <w:p>
      <w:pPr>
        <w:pStyle w:val="ListNumber"/>
        <w:spacing w:before="0" w:after="60" w:line="259" w:lineRule="auto"/>
      </w:pPr>
      <w:r>
        <w:rPr>
          <w:rFonts w:ascii="Liberation Sans" w:hAnsi="Liberation Sans"/>
          <w:color w:val="1F2328"/>
          <w:sz w:val="20"/>
        </w:rPr>
        <w:t>AI-generated question list.</w:t>
      </w:r>
    </w:p>
    <w:p>
      <w:pPr>
        <w:pStyle w:val="ListNumber"/>
        <w:spacing w:before="0" w:after="60" w:line="259" w:lineRule="auto"/>
      </w:pPr>
      <w:r>
        <w:rPr>
          <w:rFonts w:ascii="Liberation Sans" w:hAnsi="Liberation Sans"/>
          <w:color w:val="1F2328"/>
          <w:sz w:val="20"/>
        </w:rPr>
        <w:t>Value map and assumptions.</w:t>
      </w:r>
    </w:p>
    <w:p>
      <w:pPr>
        <w:pStyle w:val="ListNumber"/>
        <w:spacing w:before="0" w:after="60" w:line="259" w:lineRule="auto"/>
      </w:pPr>
      <w:r>
        <w:rPr>
          <w:rFonts w:ascii="Liberation Sans" w:hAnsi="Liberation Sans"/>
          <w:color w:val="1F2328"/>
          <w:sz w:val="20"/>
        </w:rPr>
        <w:t>Invoice and full-value views.</w:t>
      </w:r>
    </w:p>
    <w:p>
      <w:pPr>
        <w:pStyle w:val="ListNumber"/>
        <w:spacing w:before="0" w:after="60" w:line="259" w:lineRule="auto"/>
      </w:pPr>
      <w:r>
        <w:rPr>
          <w:rFonts w:ascii="Liberation Sans" w:hAnsi="Liberation Sans"/>
          <w:color w:val="1F2328"/>
          <w:sz w:val="20"/>
        </w:rPr>
        <w:t>Draft agreement export.</w:t>
      </w:r>
    </w:p>
    <w:p>
      <w:pPr>
        <w:pStyle w:val="Heading2"/>
        <w:keepNext/>
        <w:spacing w:before="160" w:after="80"/>
      </w:pPr>
      <w:r>
        <w:rPr>
          <w:rFonts w:ascii="Liberation Sans" w:hAnsi="Liberation Sans"/>
          <w:b/>
          <w:color w:val="365D75"/>
          <w:sz w:val="25"/>
        </w:rPr>
        <w:t>Phase 3 — Two-party Deal Room</w:t>
      </w:r>
    </w:p>
    <w:p>
      <w:pPr>
        <w:pStyle w:val="ListNumber"/>
        <w:spacing w:before="0" w:after="60" w:line="259" w:lineRule="auto"/>
      </w:pPr>
      <w:r>
        <w:rPr>
          <w:rFonts w:ascii="Liberation Sans" w:hAnsi="Liberation Sans"/>
          <w:color w:val="1F2328"/>
          <w:sz w:val="20"/>
        </w:rPr>
        <w:t>Private advocate for each party.</w:t>
      </w:r>
    </w:p>
    <w:p>
      <w:pPr>
        <w:pStyle w:val="ListNumber"/>
        <w:spacing w:before="0" w:after="60" w:line="259" w:lineRule="auto"/>
      </w:pPr>
      <w:r>
        <w:rPr>
          <w:rFonts w:ascii="Liberation Sans" w:hAnsi="Liberation Sans"/>
          <w:color w:val="1F2328"/>
          <w:sz w:val="20"/>
        </w:rPr>
        <w:t>Shared facts and selective disclosure.</w:t>
      </w:r>
    </w:p>
    <w:p>
      <w:pPr>
        <w:pStyle w:val="ListNumber"/>
        <w:spacing w:before="0" w:after="60" w:line="259" w:lineRule="auto"/>
      </w:pPr>
      <w:r>
        <w:rPr>
          <w:rFonts w:ascii="Liberation Sans" w:hAnsi="Liberation Sans"/>
          <w:color w:val="1F2328"/>
          <w:sz w:val="20"/>
        </w:rPr>
        <w:t>Mediator-generated options.</w:t>
      </w:r>
    </w:p>
    <w:p>
      <w:pPr>
        <w:pStyle w:val="ListNumber"/>
        <w:spacing w:before="0" w:after="60" w:line="259" w:lineRule="auto"/>
      </w:pPr>
      <w:r>
        <w:rPr>
          <w:rFonts w:ascii="Liberation Sans" w:hAnsi="Liberation Sans"/>
          <w:color w:val="1F2328"/>
          <w:sz w:val="20"/>
        </w:rPr>
        <w:t>Dual consent and agreement versioning.</w:t>
      </w:r>
    </w:p>
    <w:p>
      <w:pPr>
        <w:pStyle w:val="ListNumber"/>
        <w:spacing w:before="0" w:after="60" w:line="259" w:lineRule="auto"/>
      </w:pPr>
      <w:r>
        <w:rPr>
          <w:rFonts w:ascii="Liberation Sans" w:hAnsi="Liberation Sans"/>
          <w:color w:val="1F2328"/>
          <w:sz w:val="20"/>
        </w:rPr>
        <w:t>Ledger creation.</w:t>
      </w:r>
    </w:p>
    <w:p>
      <w:pPr>
        <w:pStyle w:val="Heading2"/>
        <w:keepNext/>
        <w:spacing w:before="160" w:after="80"/>
      </w:pPr>
      <w:r>
        <w:rPr>
          <w:rFonts w:ascii="Liberation Sans" w:hAnsi="Liberation Sans"/>
          <w:b/>
          <w:color w:val="365D75"/>
          <w:sz w:val="25"/>
        </w:rPr>
        <w:t>Phase 4 — Outcome and reputation</w:t>
      </w:r>
    </w:p>
    <w:p>
      <w:pPr>
        <w:pStyle w:val="ListNumber"/>
        <w:spacing w:before="0" w:after="60" w:line="259" w:lineRule="auto"/>
      </w:pPr>
      <w:r>
        <w:rPr>
          <w:rFonts w:ascii="Liberation Sans" w:hAnsi="Liberation Sans"/>
          <w:color w:val="1F2328"/>
          <w:sz w:val="20"/>
        </w:rPr>
        <w:t>Delivery and settlement confirmation.</w:t>
      </w:r>
    </w:p>
    <w:p>
      <w:pPr>
        <w:pStyle w:val="ListNumber"/>
        <w:spacing w:before="0" w:after="60" w:line="259" w:lineRule="auto"/>
      </w:pPr>
      <w:r>
        <w:rPr>
          <w:rFonts w:ascii="Liberation Sans" w:hAnsi="Liberation Sans"/>
          <w:color w:val="1F2328"/>
          <w:sz w:val="20"/>
        </w:rPr>
        <w:t>Unhappy and unresolved states.</w:t>
      </w:r>
    </w:p>
    <w:p>
      <w:pPr>
        <w:pStyle w:val="ListNumber"/>
        <w:spacing w:before="0" w:after="60" w:line="259" w:lineRule="auto"/>
      </w:pPr>
      <w:r>
        <w:rPr>
          <w:rFonts w:ascii="Liberation Sans" w:hAnsi="Liberation Sans"/>
          <w:color w:val="1F2328"/>
          <w:sz w:val="20"/>
        </w:rPr>
        <w:t>Resolution updates.</w:t>
      </w:r>
    </w:p>
    <w:p>
      <w:pPr>
        <w:pStyle w:val="ListNumber"/>
        <w:spacing w:before="0" w:after="60" w:line="259" w:lineRule="auto"/>
      </w:pPr>
      <w:r>
        <w:rPr>
          <w:rFonts w:ascii="Liberation Sans" w:hAnsi="Liberation Sans"/>
          <w:color w:val="1F2328"/>
          <w:sz w:val="20"/>
        </w:rPr>
        <w:t>Transaction-gated reputation profile.</w:t>
      </w:r>
    </w:p>
    <w:p>
      <w:pPr>
        <w:pStyle w:val="ListNumber"/>
        <w:spacing w:before="0" w:after="60" w:line="259" w:lineRule="auto"/>
      </w:pPr>
      <w:r>
        <w:rPr>
          <w:rFonts w:ascii="Liberation Sans" w:hAnsi="Liberation Sans"/>
          <w:color w:val="1F2328"/>
          <w:sz w:val="20"/>
        </w:rPr>
        <w:t>Benevolent-contribution profile totals.</w:t>
      </w:r>
    </w:p>
    <w:tbl>
      <w:tblPr>
        <w:tblW w:type="auto" w:w="0"/>
        <w:jc w:val="center"/>
        <w:tblLayout w:type="fixed"/>
        <w:tblLook w:firstColumn="1" w:firstRow="1" w:lastColumn="0" w:lastRow="0" w:noHBand="0" w:noVBand="1" w:val="04A0"/>
      </w:tblPr>
      <w:tblGrid>
        <w:gridCol w:w="173"/>
        <w:gridCol w:w="9576"/>
      </w:tblGrid>
      <w:tr>
        <w:tc>
          <w:tcPr>
            <w:tcW w:type="dxa" w:w="173"/>
            <w:shd w:fill="365D75"/>
            <w:vAlign w:val="center"/>
            <w:tcBorders>
              <w:top w:val="nil"/>
              <w:left w:val="nil"/>
              <w:bottom w:val="nil"/>
              <w:right w:val="nil"/>
            </w:tcBorders>
          </w:tcPr>
          <w:p/>
        </w:tc>
        <w:tc>
          <w:tcPr>
            <w:tcW w:type="dxa" w:w="9576"/>
            <w:shd w:fill="FAF8F2"/>
            <w:vAlign w:val="center"/>
            <w:tcBorders>
              <w:top w:val="nil"/>
              <w:left w:val="nil"/>
              <w:bottom w:val="nil"/>
              <w:right w:val="nil"/>
            </w:tcBorders>
          </w:tcPr>
          <w:p>
            <w:pPr>
              <w:spacing w:after="40"/>
            </w:pPr>
            <w:r>
              <w:rPr>
                <w:rFonts w:ascii="Liberation Sans" w:hAnsi="Liberation Sans"/>
                <w:b/>
                <w:color w:val="1F2328"/>
                <w:sz w:val="20"/>
              </w:rPr>
              <w:t>Recommended first coded prototype</w:t>
            </w:r>
          </w:p>
          <w:p>
            <w:pPr>
              <w:spacing w:after="0" w:line="259" w:lineRule="auto"/>
            </w:pPr>
            <w:r>
              <w:rPr>
                <w:rFonts w:ascii="Liberation Sans" w:hAnsi="Liberation Sans"/>
                <w:color w:val="1F2328"/>
                <w:sz w:val="19"/>
              </w:rPr>
              <w:t>One user describes a deal; the system produces an energy-first value map, two modes, an agreement draft, benevolent contribution, and unfulfilled-obligation fields. Two-party negotiation can follow once the core semantics are stable.</w:t>
            </w:r>
          </w:p>
        </w:tc>
      </w:tr>
    </w:tbl>
    <w:p>
      <w:pPr>
        <w:spacing w:after="20"/>
      </w:pPr>
    </w:p>
    <w:p>
      <w:pPr>
        <w:pStyle w:val="Heading1"/>
        <w:keepNext/>
        <w:spacing w:before="200" w:after="140"/>
        <w:pBdr>
          <w:bottom w:val="single" w:sz="10" w:space="4" w:color="B8923B"/>
        </w:pBdr>
      </w:pPr>
      <w:r>
        <w:rPr>
          <w:rFonts w:ascii="Liberation Sans" w:hAnsi="Liberation Sans"/>
          <w:b/>
          <w:color w:val="1F2328"/>
          <w:sz w:val="34"/>
        </w:rPr>
        <w:t>12. Core data model</w:t>
      </w:r>
    </w:p>
    <w:p>
      <w:pPr>
        <w:spacing w:before="0" w:after="120" w:line="269" w:lineRule="auto"/>
      </w:pPr>
      <w:r>
        <w:rPr>
          <w:rFonts w:ascii="Liberation Sans" w:hAnsi="Liberation Sans"/>
          <w:i w:val="0"/>
          <w:color w:val="1F2328"/>
          <w:sz w:val="20"/>
        </w:rPr>
        <w:t>The companion JSON file delivered with this document contains a machine-readable v0.1 schema. The following table summarizes the essential records.</w:t>
      </w:r>
    </w:p>
    <w:tbl>
      <w:tblPr>
        <w:tblW w:type="auto" w:w="0"/>
        <w:jc w:val="center"/>
        <w:tblLayout w:type="fixed"/>
        <w:tblLook w:firstColumn="1" w:firstRow="1" w:lastColumn="0" w:lastRow="0" w:noHBand="0" w:noVBand="1" w:val="04A0"/>
      </w:tblPr>
      <w:tblGrid>
        <w:gridCol w:w="4997"/>
        <w:gridCol w:w="4997"/>
      </w:tblGrid>
      <w:tr>
        <w:trPr>
          <w:tblHeader w:val="true"/>
          <w:cantSplit w:val="true"/>
        </w:trPr>
        <w:tc>
          <w:tcPr>
            <w:tcW w:type="dxa" w:w="2376"/>
            <w:shd w:fill="1F2328"/>
            <w:vAlign w:val="center"/>
            <w:tcBorders>
              <w:top w:val="single" w:sz="4" w:color="FFFFFF"/>
              <w:left w:val="single" w:sz="4" w:color="FFFFFF"/>
              <w:bottom w:val="single" w:sz="4" w:color="FFFFFF"/>
              <w:right w:val="single" w:sz="4" w:color="FFFFFF"/>
            </w:tcBorders>
          </w:tcPr>
          <w:p>
            <w:pPr>
              <w:spacing w:after="0"/>
              <w:jc w:val="left"/>
            </w:pPr>
            <w:r>
              <w:rPr>
                <w:rFonts w:ascii="Liberation Sans" w:hAnsi="Liberation Sans"/>
                <w:b/>
                <w:color w:val="FFFFFF"/>
                <w:sz w:val="17"/>
              </w:rPr>
              <w:t>Record</w:t>
            </w:r>
          </w:p>
        </w:tc>
        <w:tc>
          <w:tcPr>
            <w:tcW w:type="dxa" w:w="7200"/>
            <w:shd w:fill="1F2328"/>
            <w:vAlign w:val="center"/>
            <w:tcBorders>
              <w:top w:val="single" w:sz="4" w:color="FFFFFF"/>
              <w:left w:val="single" w:sz="4" w:color="FFFFFF"/>
              <w:bottom w:val="single" w:sz="4" w:color="FFFFFF"/>
              <w:right w:val="single" w:sz="4" w:color="FFFFFF"/>
            </w:tcBorders>
          </w:tcPr>
          <w:p>
            <w:pPr>
              <w:spacing w:after="0"/>
              <w:jc w:val="left"/>
            </w:pPr>
            <w:r>
              <w:rPr>
                <w:rFonts w:ascii="Liberation Sans" w:hAnsi="Liberation Sans"/>
                <w:b/>
                <w:color w:val="FFFFFF"/>
                <w:sz w:val="17"/>
              </w:rPr>
              <w:t>Role</w:t>
            </w:r>
          </w:p>
        </w:tc>
      </w:tr>
      <w:tr>
        <w:trPr>
          <w:cantSplit w:val="true"/>
        </w:trPr>
        <w:tc>
          <w:tcPr>
            <w:tcW w:type="dxa" w:w="2376"/>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ProtocolVersion</w:t>
            </w:r>
          </w:p>
        </w:tc>
        <w:tc>
          <w:tcPr>
            <w:tcW w:type="dxa" w:w="7200"/>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Formula version, coefficient version, preset versions, and constitutional rule version.</w:t>
            </w:r>
          </w:p>
        </w:tc>
      </w:tr>
      <w:tr>
        <w:trPr>
          <w:cantSplit w:val="true"/>
        </w:trPr>
        <w:tc>
          <w:tcPr>
            <w:tcW w:type="dxa" w:w="2376"/>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Party</w:t>
            </w:r>
          </w:p>
        </w:tc>
        <w:tc>
          <w:tcPr>
            <w:tcW w:type="dxa" w:w="7200"/>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Verified identity, display settings, private negotiation settings, and authorization boundaries.</w:t>
            </w:r>
          </w:p>
        </w:tc>
      </w:tr>
      <w:tr>
        <w:trPr>
          <w:cantSplit w:val="true"/>
        </w:trPr>
        <w:tc>
          <w:tcPr>
            <w:tcW w:type="dxa" w:w="2376"/>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Transaction</w:t>
            </w:r>
          </w:p>
        </w:tc>
        <w:tc>
          <w:tcPr>
            <w:tcW w:type="dxa" w:w="7200"/>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Parties, purpose, timestamps, current status, and version history.</w:t>
            </w:r>
          </w:p>
        </w:tc>
      </w:tr>
      <w:tr>
        <w:trPr>
          <w:cantSplit w:val="true"/>
        </w:trPr>
        <w:tc>
          <w:tcPr>
            <w:tcW w:type="dxa" w:w="2376"/>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ValueComponent</w:t>
            </w:r>
          </w:p>
        </w:tc>
        <w:tc>
          <w:tcPr>
            <w:tcW w:type="dxa" w:w="7200"/>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Category, contributor, quantity, energy, presence, confidence, reuse allocation, and evidence.</w:t>
            </w:r>
          </w:p>
        </w:tc>
      </w:tr>
      <w:tr>
        <w:trPr>
          <w:cantSplit w:val="true"/>
        </w:trPr>
        <w:tc>
          <w:tcPr>
            <w:tcW w:type="dxa" w:w="2376"/>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Valuation</w:t>
            </w:r>
          </w:p>
        </w:tc>
        <w:tc>
          <w:tcPr>
            <w:tcW w:type="dxa" w:w="7200"/>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Invoice value, full value, assumptions, uncertainty, and approval state.</w:t>
            </w:r>
          </w:p>
        </w:tc>
      </w:tr>
      <w:tr>
        <w:trPr>
          <w:cantSplit w:val="true"/>
        </w:trPr>
        <w:tc>
          <w:tcPr>
            <w:tcW w:type="dxa" w:w="2376"/>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SettlementTerm</w:t>
            </w:r>
          </w:p>
        </w:tc>
        <w:tc>
          <w:tcPr>
            <w:tcW w:type="dxa" w:w="7200"/>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Settlement medium, amount in native units, agreed KW₭ equivalent, due conditions, and permissions.</w:t>
            </w:r>
          </w:p>
        </w:tc>
      </w:tr>
      <w:tr>
        <w:trPr>
          <w:cantSplit w:val="true"/>
        </w:trPr>
        <w:tc>
          <w:tcPr>
            <w:tcW w:type="dxa" w:w="2376"/>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Obligation</w:t>
            </w:r>
          </w:p>
        </w:tc>
        <w:tc>
          <w:tcPr>
            <w:tcW w:type="dxa" w:w="7200"/>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Who promises what, to whom, by when, and how completion is acknowledged.</w:t>
            </w:r>
          </w:p>
        </w:tc>
      </w:tr>
      <w:tr>
        <w:trPr>
          <w:cantSplit w:val="true"/>
        </w:trPr>
        <w:tc>
          <w:tcPr>
            <w:tcW w:type="dxa" w:w="2376"/>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AgreementVersion</w:t>
            </w:r>
          </w:p>
        </w:tc>
        <w:tc>
          <w:tcPr>
            <w:tcW w:type="dxa" w:w="7200"/>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Immutable accepted snapshot of facts, values, settlement, obligations, and disclosures.</w:t>
            </w:r>
          </w:p>
        </w:tc>
      </w:tr>
      <w:tr>
        <w:trPr>
          <w:cantSplit w:val="true"/>
        </w:trPr>
        <w:tc>
          <w:tcPr>
            <w:tcW w:type="dxa" w:w="2376"/>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Outcome</w:t>
            </w:r>
          </w:p>
        </w:tc>
        <w:tc>
          <w:tcPr>
            <w:tcW w:type="dxa" w:w="7200"/>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Delivered value, delivered settlement, satisfaction flags, unresolved items, and resolution history.</w:t>
            </w:r>
          </w:p>
        </w:tc>
      </w:tr>
      <w:tr>
        <w:trPr>
          <w:cantSplit w:val="true"/>
        </w:trPr>
        <w:tc>
          <w:tcPr>
            <w:tcW w:type="dxa" w:w="2376"/>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ReputationSummary</w:t>
            </w:r>
          </w:p>
        </w:tc>
        <w:tc>
          <w:tcPr>
            <w:tcW w:type="dxa" w:w="7200"/>
            <w:shd w:fill="FAF8F2"/>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Completed, unhappy, unresolved, resolved, and recent/lifetime rates.</w:t>
            </w:r>
          </w:p>
        </w:tc>
      </w:tr>
      <w:tr>
        <w:trPr>
          <w:cantSplit w:val="true"/>
        </w:trPr>
        <w:tc>
          <w:tcPr>
            <w:tcW w:type="dxa" w:w="2376"/>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BenevolentContribution</w:t>
            </w:r>
          </w:p>
        </w:tc>
        <w:tc>
          <w:tcPr>
            <w:tcW w:type="dxa" w:w="7200"/>
            <w:shd w:fill="FFFFFF"/>
            <w:vAlign w:val="top"/>
            <w:tcBorders>
              <w:top w:val="single" w:sz="4" w:color="D9D4C8"/>
              <w:left w:val="single" w:sz="4" w:color="D9D4C8"/>
              <w:bottom w:val="single" w:sz="4" w:color="D9D4C8"/>
              <w:right w:val="single" w:sz="4" w:color="D9D4C8"/>
            </w:tcBorders>
          </w:tcPr>
          <w:p>
            <w:pPr>
              <w:spacing w:after="0" w:line="247" w:lineRule="auto"/>
            </w:pPr>
            <w:r>
              <w:rPr>
                <w:rFonts w:ascii="Liberation Sans" w:hAnsi="Liberation Sans"/>
                <w:color w:val="1F2328"/>
                <w:sz w:val="17"/>
              </w:rPr>
              <w:t>Transaction-backed non-spendable difference between agreed value and agreed settlement.</w:t>
            </w:r>
          </w:p>
        </w:tc>
      </w:tr>
    </w:tbl>
    <w:p>
      <w:pPr>
        <w:spacing w:after="20"/>
      </w:pPr>
    </w:p>
    <w:p>
      <w:pPr>
        <w:pStyle w:val="Heading1"/>
        <w:keepNext/>
        <w:spacing w:before="200" w:after="140"/>
        <w:pBdr>
          <w:bottom w:val="single" w:sz="10" w:space="4" w:color="B8923B"/>
        </w:pBdr>
      </w:pPr>
      <w:r>
        <w:rPr>
          <w:rFonts w:ascii="Liberation Sans" w:hAnsi="Liberation Sans"/>
          <w:b/>
          <w:color w:val="1F2328"/>
          <w:sz w:val="34"/>
        </w:rPr>
        <w:t>13. Safeguards and non-goals</w:t>
      </w:r>
    </w:p>
    <w:p>
      <w:pPr>
        <w:pStyle w:val="Heading2"/>
        <w:keepNext/>
        <w:spacing w:before="160" w:after="80"/>
      </w:pPr>
      <w:r>
        <w:rPr>
          <w:rFonts w:ascii="Liberation Sans" w:hAnsi="Liberation Sans"/>
          <w:b/>
          <w:color w:val="365D75"/>
          <w:sz w:val="25"/>
        </w:rPr>
        <w:t>13.1 Safeguards</w:t>
      </w:r>
    </w:p>
    <w:p>
      <w:pPr>
        <w:pStyle w:val="ListBullet"/>
        <w:spacing w:before="0" w:after="60" w:line="259" w:lineRule="auto"/>
      </w:pPr>
      <w:r>
        <w:rPr>
          <w:rFonts w:ascii="Liberation Sans" w:hAnsi="Liberation Sans"/>
          <w:color w:val="1F2328"/>
          <w:sz w:val="20"/>
        </w:rPr>
        <w:t>No reputation effect without a verified transaction relationship.</w:t>
      </w:r>
    </w:p>
    <w:p>
      <w:pPr>
        <w:pStyle w:val="ListBullet"/>
        <w:spacing w:before="0" w:after="60" w:line="259" w:lineRule="auto"/>
      </w:pPr>
      <w:r>
        <w:rPr>
          <w:rFonts w:ascii="Liberation Sans" w:hAnsi="Liberation Sans"/>
          <w:color w:val="1F2328"/>
          <w:sz w:val="20"/>
        </w:rPr>
        <w:t>No public accusation text required for an unhappy marker.</w:t>
      </w:r>
    </w:p>
    <w:p>
      <w:pPr>
        <w:pStyle w:val="ListBullet"/>
        <w:spacing w:before="0" w:after="60" w:line="259" w:lineRule="auto"/>
      </w:pPr>
      <w:r>
        <w:rPr>
          <w:rFonts w:ascii="Liberation Sans" w:hAnsi="Liberation Sans"/>
          <w:color w:val="1F2328"/>
          <w:sz w:val="20"/>
        </w:rPr>
        <w:t>Mutual agreement required before terms enter the official ledger.</w:t>
      </w:r>
    </w:p>
    <w:p>
      <w:pPr>
        <w:pStyle w:val="ListBullet"/>
        <w:spacing w:before="0" w:after="60" w:line="259" w:lineRule="auto"/>
      </w:pPr>
      <w:r>
        <w:rPr>
          <w:rFonts w:ascii="Liberation Sans" w:hAnsi="Liberation Sans"/>
          <w:color w:val="1F2328"/>
          <w:sz w:val="20"/>
        </w:rPr>
        <w:t>Every accepted agreement keeps an immutable version snapshot.</w:t>
      </w:r>
    </w:p>
    <w:p>
      <w:pPr>
        <w:pStyle w:val="ListBullet"/>
        <w:spacing w:before="0" w:after="60" w:line="259" w:lineRule="auto"/>
      </w:pPr>
      <w:r>
        <w:rPr>
          <w:rFonts w:ascii="Liberation Sans" w:hAnsi="Liberation Sans"/>
          <w:color w:val="1F2328"/>
          <w:sz w:val="20"/>
        </w:rPr>
        <w:t>Every AI inference is distinguishable from a human-provided fact.</w:t>
      </w:r>
    </w:p>
    <w:p>
      <w:pPr>
        <w:pStyle w:val="ListBullet"/>
        <w:spacing w:before="0" w:after="60" w:line="259" w:lineRule="auto"/>
      </w:pPr>
      <w:r>
        <w:rPr>
          <w:rFonts w:ascii="Liberation Sans" w:hAnsi="Liberation Sans"/>
          <w:color w:val="1F2328"/>
          <w:sz w:val="20"/>
        </w:rPr>
        <w:t>Every currency translation stores the bridge and timestamp used.</w:t>
      </w:r>
    </w:p>
    <w:p>
      <w:pPr>
        <w:pStyle w:val="ListBullet"/>
        <w:spacing w:before="0" w:after="60" w:line="259" w:lineRule="auto"/>
      </w:pPr>
      <w:r>
        <w:rPr>
          <w:rFonts w:ascii="Liberation Sans" w:hAnsi="Liberation Sans"/>
          <w:color w:val="1F2328"/>
          <w:sz w:val="20"/>
        </w:rPr>
        <w:t>Benevolent contribution cannot be spent, transferred, or converted automatically.</w:t>
      </w:r>
    </w:p>
    <w:p>
      <w:pPr>
        <w:pStyle w:val="ListBullet"/>
        <w:spacing w:before="0" w:after="60" w:line="259" w:lineRule="auto"/>
      </w:pPr>
      <w:r>
        <w:rPr>
          <w:rFonts w:ascii="Liberation Sans" w:hAnsi="Liberation Sans"/>
          <w:color w:val="1F2328"/>
          <w:sz w:val="20"/>
        </w:rPr>
        <w:t>Unfulfilled obligations cannot be reclassified as benevolence.</w:t>
      </w:r>
    </w:p>
    <w:p>
      <w:pPr>
        <w:pStyle w:val="ListBullet"/>
        <w:spacing w:before="0" w:after="60" w:line="259" w:lineRule="auto"/>
      </w:pPr>
      <w:r>
        <w:rPr>
          <w:rFonts w:ascii="Liberation Sans" w:hAnsi="Liberation Sans"/>
          <w:color w:val="1F2328"/>
          <w:sz w:val="20"/>
        </w:rPr>
        <w:t>The platform should disclose related-party and repetitive transaction patterns when context is relevant, without declaring fraud.</w:t>
      </w:r>
    </w:p>
    <w:p>
      <w:pPr>
        <w:pStyle w:val="ListBullet"/>
        <w:spacing w:before="0" w:after="60" w:line="259" w:lineRule="auto"/>
      </w:pPr>
      <w:r>
        <w:rPr>
          <w:rFonts w:ascii="Liberation Sans" w:hAnsi="Liberation Sans"/>
          <w:color w:val="1F2328"/>
          <w:sz w:val="20"/>
        </w:rPr>
        <w:t>Moderation reports remain separate from transactional reputation.</w:t>
      </w:r>
    </w:p>
    <w:p>
      <w:pPr>
        <w:pStyle w:val="Heading2"/>
        <w:keepNext/>
        <w:spacing w:before="160" w:after="80"/>
      </w:pPr>
      <w:r>
        <w:rPr>
          <w:rFonts w:ascii="Liberation Sans" w:hAnsi="Liberation Sans"/>
          <w:b/>
          <w:color w:val="365D75"/>
          <w:sz w:val="25"/>
        </w:rPr>
        <w:t>13.2 Explicit non-goals</w:t>
      </w:r>
    </w:p>
    <w:p>
      <w:pPr>
        <w:pStyle w:val="ListBullet"/>
        <w:spacing w:before="0" w:after="60" w:line="259" w:lineRule="auto"/>
      </w:pPr>
      <w:r>
        <w:rPr>
          <w:rFonts w:ascii="Liberation Sans" w:hAnsi="Liberation Sans"/>
          <w:color w:val="1F2328"/>
          <w:sz w:val="20"/>
        </w:rPr>
        <w:t>Becoming a court, police service, debt collector, or compulsory arbitration authority.</w:t>
      </w:r>
    </w:p>
    <w:p>
      <w:pPr>
        <w:pStyle w:val="ListBullet"/>
        <w:spacing w:before="0" w:after="60" w:line="259" w:lineRule="auto"/>
      </w:pPr>
      <w:r>
        <w:rPr>
          <w:rFonts w:ascii="Liberation Sans" w:hAnsi="Liberation Sans"/>
          <w:color w:val="1F2328"/>
          <w:sz w:val="20"/>
        </w:rPr>
        <w:t>Producing a universal moral score.</w:t>
      </w:r>
    </w:p>
    <w:p>
      <w:pPr>
        <w:pStyle w:val="ListBullet"/>
        <w:spacing w:before="0" w:after="60" w:line="259" w:lineRule="auto"/>
      </w:pPr>
      <w:r>
        <w:rPr>
          <w:rFonts w:ascii="Liberation Sans" w:hAnsi="Liberation Sans"/>
          <w:color w:val="1F2328"/>
          <w:sz w:val="20"/>
        </w:rPr>
        <w:t>Making every unequal exchange impossible.</w:t>
      </w:r>
    </w:p>
    <w:p>
      <w:pPr>
        <w:pStyle w:val="ListBullet"/>
        <w:spacing w:before="0" w:after="60" w:line="259" w:lineRule="auto"/>
      </w:pPr>
      <w:r>
        <w:rPr>
          <w:rFonts w:ascii="Liberation Sans" w:hAnsi="Liberation Sans"/>
          <w:color w:val="1F2328"/>
          <w:sz w:val="20"/>
        </w:rPr>
        <w:t>Forcing users to charge the maximum recognizable value.</w:t>
      </w:r>
    </w:p>
    <w:p>
      <w:pPr>
        <w:pStyle w:val="ListBullet"/>
        <w:spacing w:before="0" w:after="60" w:line="259" w:lineRule="auto"/>
      </w:pPr>
      <w:r>
        <w:rPr>
          <w:rFonts w:ascii="Liberation Sans" w:hAnsi="Liberation Sans"/>
          <w:color w:val="1F2328"/>
          <w:sz w:val="20"/>
        </w:rPr>
        <w:t>Replacing human consent with AI authority.</w:t>
      </w:r>
    </w:p>
    <w:p>
      <w:pPr>
        <w:pStyle w:val="ListBullet"/>
        <w:spacing w:before="0" w:after="60" w:line="259" w:lineRule="auto"/>
      </w:pPr>
      <w:r>
        <w:rPr>
          <w:rFonts w:ascii="Liberation Sans" w:hAnsi="Liberation Sans"/>
          <w:color w:val="1F2328"/>
          <w:sz w:val="20"/>
        </w:rPr>
        <w:t>Creating KW₭ from two-party valuation gaps.</w:t>
      </w:r>
    </w:p>
    <w:p>
      <w:pPr>
        <w:pStyle w:val="ListBullet"/>
        <w:spacing w:before="0" w:after="60" w:line="259" w:lineRule="auto"/>
      </w:pPr>
      <w:r>
        <w:rPr>
          <w:rFonts w:ascii="Liberation Sans" w:hAnsi="Liberation Sans"/>
          <w:color w:val="1F2328"/>
          <w:sz w:val="20"/>
        </w:rPr>
        <w:t>Rewarding benevolent totals with automatic advertising or financial privileges in v0.1.</w:t>
      </w:r>
    </w:p>
    <w:p>
      <w:pPr>
        <w:pStyle w:val="Heading1"/>
        <w:keepNext/>
        <w:spacing w:before="200" w:after="140"/>
        <w:pBdr>
          <w:bottom w:val="single" w:sz="10" w:space="4" w:color="B8923B"/>
        </w:pBdr>
      </w:pPr>
      <w:r>
        <w:rPr>
          <w:rFonts w:ascii="Liberation Sans" w:hAnsi="Liberation Sans"/>
          <w:b/>
          <w:color w:val="1F2328"/>
          <w:sz w:val="34"/>
        </w:rPr>
        <w:t>14. Settled decisions and open questions</w:t>
      </w:r>
    </w:p>
    <w:p>
      <w:pPr>
        <w:pStyle w:val="Heading2"/>
        <w:keepNext/>
        <w:spacing w:before="160" w:after="80"/>
      </w:pPr>
      <w:r>
        <w:rPr>
          <w:rFonts w:ascii="Liberation Sans" w:hAnsi="Liberation Sans"/>
          <w:b/>
          <w:color w:val="365D75"/>
          <w:sz w:val="25"/>
        </w:rPr>
        <w:t>14.1 Settled in v0.1</w:t>
      </w:r>
    </w:p>
    <w:p>
      <w:pPr>
        <w:pStyle w:val="ListBullet"/>
        <w:spacing w:before="0" w:after="60" w:line="259" w:lineRule="auto"/>
      </w:pPr>
      <w:r>
        <w:rPr>
          <w:rFonts w:ascii="Liberation Sans" w:hAnsi="Liberation Sans"/>
          <w:color w:val="1F2328"/>
          <w:sz w:val="20"/>
        </w:rPr>
        <w:t>The calculator remains the auditable kernel; conversational AI becomes the main public interface.</w:t>
      </w:r>
    </w:p>
    <w:p>
      <w:pPr>
        <w:pStyle w:val="ListBullet"/>
        <w:spacing w:before="0" w:after="60" w:line="259" w:lineRule="auto"/>
      </w:pPr>
      <w:r>
        <w:rPr>
          <w:rFonts w:ascii="Liberation Sans" w:hAnsi="Liberation Sans"/>
          <w:color w:val="1F2328"/>
          <w:sz w:val="20"/>
        </w:rPr>
        <w:t>Invoice mode and full-value mode are both required.</w:t>
      </w:r>
    </w:p>
    <w:p>
      <w:pPr>
        <w:pStyle w:val="ListBullet"/>
        <w:spacing w:before="0" w:after="60" w:line="259" w:lineRule="auto"/>
      </w:pPr>
      <w:r>
        <w:rPr>
          <w:rFonts w:ascii="Liberation Sans" w:hAnsi="Liberation Sans"/>
          <w:color w:val="1F2328"/>
          <w:sz w:val="20"/>
        </w:rPr>
        <w:t>All primary values are energy-first and expressed in KW₭.</w:t>
      </w:r>
    </w:p>
    <w:p>
      <w:pPr>
        <w:pStyle w:val="ListBullet"/>
        <w:spacing w:before="0" w:after="60" w:line="259" w:lineRule="auto"/>
      </w:pPr>
      <w:r>
        <w:rPr>
          <w:rFonts w:ascii="Liberation Sans" w:hAnsi="Liberation Sans"/>
          <w:color w:val="1F2328"/>
          <w:sz w:val="20"/>
        </w:rPr>
        <w:t>Currency is an optional settlement bridge, not the basis of value.</w:t>
      </w:r>
    </w:p>
    <w:p>
      <w:pPr>
        <w:pStyle w:val="ListBullet"/>
        <w:spacing w:before="0" w:after="60" w:line="259" w:lineRule="auto"/>
      </w:pPr>
      <w:r>
        <w:rPr>
          <w:rFonts w:ascii="Liberation Sans" w:hAnsi="Liberation Sans"/>
          <w:color w:val="1F2328"/>
          <w:sz w:val="20"/>
        </w:rPr>
        <w:t>The platform records agreements but does not enforce them.</w:t>
      </w:r>
    </w:p>
    <w:p>
      <w:pPr>
        <w:pStyle w:val="ListBullet"/>
        <w:spacing w:before="0" w:after="60" w:line="259" w:lineRule="auto"/>
      </w:pPr>
      <w:r>
        <w:rPr>
          <w:rFonts w:ascii="Liberation Sans" w:hAnsi="Liberation Sans"/>
          <w:color w:val="1F2328"/>
          <w:sz w:val="20"/>
        </w:rPr>
        <w:t>Only verified transaction parties can affect reputation.</w:t>
      </w:r>
    </w:p>
    <w:p>
      <w:pPr>
        <w:pStyle w:val="ListBullet"/>
        <w:spacing w:before="0" w:after="60" w:line="259" w:lineRule="auto"/>
      </w:pPr>
      <w:r>
        <w:rPr>
          <w:rFonts w:ascii="Liberation Sans" w:hAnsi="Liberation Sans"/>
          <w:color w:val="1F2328"/>
          <w:sz w:val="20"/>
        </w:rPr>
        <w:t>Reputation uses unhappy/unresolved/resolved transaction facts, not stars and not guilt labels.</w:t>
      </w:r>
    </w:p>
    <w:p>
      <w:pPr>
        <w:pStyle w:val="ListBullet"/>
        <w:spacing w:before="0" w:after="60" w:line="259" w:lineRule="auto"/>
      </w:pPr>
      <w:r>
        <w:rPr>
          <w:rFonts w:ascii="Liberation Sans" w:hAnsi="Liberation Sans"/>
          <w:color w:val="1F2328"/>
          <w:sz w:val="20"/>
        </w:rPr>
        <w:t>Only agreed terms enter the ledger.</w:t>
      </w:r>
    </w:p>
    <w:p>
      <w:pPr>
        <w:pStyle w:val="ListBullet"/>
        <w:spacing w:before="0" w:after="60" w:line="259" w:lineRule="auto"/>
      </w:pPr>
      <w:r>
        <w:rPr>
          <w:rFonts w:ascii="Liberation Sans" w:hAnsi="Liberation Sans"/>
          <w:color w:val="1F2328"/>
          <w:sz w:val="20"/>
        </w:rPr>
        <w:t>Agreed value minus agreed settlement is automatically recorded as benevolent contribution.</w:t>
      </w:r>
    </w:p>
    <w:p>
      <w:pPr>
        <w:pStyle w:val="ListBullet"/>
        <w:spacing w:before="0" w:after="60" w:line="259" w:lineRule="auto"/>
      </w:pPr>
      <w:r>
        <w:rPr>
          <w:rFonts w:ascii="Liberation Sans" w:hAnsi="Liberation Sans"/>
          <w:color w:val="1F2328"/>
          <w:sz w:val="20"/>
        </w:rPr>
        <w:t>Agreed settlement minus delivered settlement is an unfulfilled obligation.</w:t>
      </w:r>
    </w:p>
    <w:p>
      <w:pPr>
        <w:pStyle w:val="ListBullet"/>
        <w:spacing w:before="0" w:after="60" w:line="259" w:lineRule="auto"/>
      </w:pPr>
      <w:r>
        <w:rPr>
          <w:rFonts w:ascii="Liberation Sans" w:hAnsi="Liberation Sans"/>
          <w:color w:val="1F2328"/>
          <w:sz w:val="20"/>
        </w:rPr>
        <w:t>Benevolent contribution is non-spendable and does not mint KW₭.</w:t>
      </w:r>
    </w:p>
    <w:p>
      <w:pPr>
        <w:pStyle w:val="ListBullet"/>
        <w:spacing w:before="0" w:after="60" w:line="259" w:lineRule="auto"/>
      </w:pPr>
      <w:r>
        <w:rPr>
          <w:rFonts w:ascii="Liberation Sans" w:hAnsi="Liberation Sans"/>
          <w:color w:val="1F2328"/>
          <w:sz w:val="20"/>
        </w:rPr>
        <w:t>Currency creation and automatic advertising rewards are tabled.</w:t>
      </w:r>
    </w:p>
    <w:p>
      <w:pPr>
        <w:pStyle w:val="ListBullet"/>
        <w:spacing w:before="0" w:after="60" w:line="259" w:lineRule="auto"/>
      </w:pPr>
      <w:r>
        <w:rPr>
          <w:rFonts w:ascii="Liberation Sans" w:hAnsi="Liberation Sans"/>
          <w:color w:val="1F2328"/>
          <w:sz w:val="20"/>
        </w:rPr>
        <w:t>H_i remains 625 in the current calculator.</w:t>
      </w:r>
    </w:p>
    <w:p>
      <w:pPr>
        <w:pStyle w:val="Heading2"/>
        <w:keepNext/>
        <w:spacing w:before="160" w:after="80"/>
      </w:pPr>
      <w:r>
        <w:rPr>
          <w:rFonts w:ascii="Liberation Sans" w:hAnsi="Liberation Sans"/>
          <w:b/>
          <w:color w:val="365D75"/>
          <w:sz w:val="25"/>
        </w:rPr>
        <w:t>14.2 Open for later validation</w:t>
      </w:r>
    </w:p>
    <w:p>
      <w:pPr>
        <w:pStyle w:val="ListBullet"/>
        <w:spacing w:before="0" w:after="60" w:line="259" w:lineRule="auto"/>
      </w:pPr>
      <w:r>
        <w:rPr>
          <w:rFonts w:ascii="Liberation Sans" w:hAnsi="Liberation Sans"/>
          <w:color w:val="1F2328"/>
          <w:sz w:val="20"/>
        </w:rPr>
        <w:t>Exact band, venue, freelance, product, and community-service presets.</w:t>
      </w:r>
    </w:p>
    <w:p>
      <w:pPr>
        <w:pStyle w:val="ListBullet"/>
        <w:spacing w:before="0" w:after="60" w:line="259" w:lineRule="auto"/>
      </w:pPr>
      <w:r>
        <w:rPr>
          <w:rFonts w:ascii="Liberation Sans" w:hAnsi="Liberation Sans"/>
          <w:color w:val="1F2328"/>
          <w:sz w:val="20"/>
        </w:rPr>
        <w:t>How reusable preparation is allocated across expected uses.</w:t>
      </w:r>
    </w:p>
    <w:p>
      <w:pPr>
        <w:pStyle w:val="ListBullet"/>
        <w:spacing w:before="0" w:after="60" w:line="259" w:lineRule="auto"/>
      </w:pPr>
      <w:r>
        <w:rPr>
          <w:rFonts w:ascii="Liberation Sans" w:hAnsi="Liberation Sans"/>
          <w:color w:val="1F2328"/>
          <w:sz w:val="20"/>
        </w:rPr>
        <w:t>How equipment deployment and depreciation are translated into energy consistently.</w:t>
      </w:r>
    </w:p>
    <w:p>
      <w:pPr>
        <w:pStyle w:val="ListBullet"/>
        <w:spacing w:before="0" w:after="60" w:line="259" w:lineRule="auto"/>
      </w:pPr>
      <w:r>
        <w:rPr>
          <w:rFonts w:ascii="Liberation Sans" w:hAnsi="Liberation Sans"/>
          <w:color w:val="1F2328"/>
          <w:sz w:val="20"/>
        </w:rPr>
        <w:t>Which identity verification level is required for different transaction sizes.</w:t>
      </w:r>
    </w:p>
    <w:p>
      <w:pPr>
        <w:pStyle w:val="ListBullet"/>
        <w:spacing w:before="0" w:after="60" w:line="259" w:lineRule="auto"/>
      </w:pPr>
      <w:r>
        <w:rPr>
          <w:rFonts w:ascii="Liberation Sans" w:hAnsi="Liberation Sans"/>
          <w:color w:val="1F2328"/>
          <w:sz w:val="20"/>
        </w:rPr>
        <w:t>How much public transaction context accompanies benevolent totals.</w:t>
      </w:r>
    </w:p>
    <w:p>
      <w:pPr>
        <w:pStyle w:val="ListBullet"/>
        <w:spacing w:before="0" w:after="60" w:line="259" w:lineRule="auto"/>
      </w:pPr>
      <w:r>
        <w:rPr>
          <w:rFonts w:ascii="Liberation Sans" w:hAnsi="Liberation Sans"/>
          <w:color w:val="1F2328"/>
          <w:sz w:val="20"/>
        </w:rPr>
        <w:t>Whether parties may choose private, pseudonymous, or public contribution display.</w:t>
      </w:r>
    </w:p>
    <w:p>
      <w:pPr>
        <w:pStyle w:val="ListBullet"/>
        <w:spacing w:before="0" w:after="60" w:line="259" w:lineRule="auto"/>
      </w:pPr>
      <w:r>
        <w:rPr>
          <w:rFonts w:ascii="Liberation Sans" w:hAnsi="Liberation Sans"/>
          <w:color w:val="1F2328"/>
          <w:sz w:val="20"/>
        </w:rPr>
        <w:t>How cancellation, force majeure, partial delivery, and amended agreements affect outcome statuses.</w:t>
      </w:r>
    </w:p>
    <w:p>
      <w:pPr>
        <w:pStyle w:val="ListBullet"/>
        <w:spacing w:before="0" w:after="60" w:line="259" w:lineRule="auto"/>
      </w:pPr>
      <w:r>
        <w:rPr>
          <w:rFonts w:ascii="Liberation Sans" w:hAnsi="Liberation Sans"/>
          <w:color w:val="1F2328"/>
          <w:sz w:val="20"/>
        </w:rPr>
        <w:t>Legal wording, privacy compliance, and jurisdiction-specific agreement notices.</w:t>
      </w:r>
    </w:p>
    <w:p>
      <w:pPr>
        <w:pStyle w:val="ListBullet"/>
        <w:spacing w:before="0" w:after="60" w:line="259" w:lineRule="auto"/>
      </w:pPr>
      <w:r>
        <w:rPr>
          <w:rFonts w:ascii="Liberation Sans" w:hAnsi="Liberation Sans"/>
          <w:color w:val="1F2328"/>
          <w:sz w:val="20"/>
        </w:rPr>
        <w:t>The sustainable non-commission funding model for operating the infrastructure.</w:t>
      </w:r>
    </w:p>
    <w:p>
      <w:pPr>
        <w:pStyle w:val="Heading1"/>
        <w:keepNext/>
        <w:spacing w:before="200" w:after="140"/>
        <w:pBdr>
          <w:bottom w:val="single" w:sz="10" w:space="4" w:color="B8923B"/>
        </w:pBdr>
      </w:pPr>
      <w:r>
        <w:rPr>
          <w:rFonts w:ascii="Liberation Sans" w:hAnsi="Liberation Sans"/>
          <w:b/>
          <w:color w:val="1F2328"/>
          <w:sz w:val="34"/>
        </w:rPr>
        <w:t>15. Implementation handoff</w:t>
      </w:r>
    </w:p>
    <w:p>
      <w:pPr>
        <w:spacing w:before="0" w:after="120" w:line="269" w:lineRule="auto"/>
      </w:pPr>
      <w:r>
        <w:rPr>
          <w:rFonts w:ascii="Liberation Sans" w:hAnsi="Liberation Sans"/>
          <w:i w:val="0"/>
          <w:color w:val="1F2328"/>
          <w:sz w:val="20"/>
        </w:rPr>
        <w:t>This version is sufficiently concrete to begin a prototype without reopening the settled constitutional rules. The implementation should treat this document and its companion JSON as the initial contract between product design, AI behavior, calculation, and ledger storage.</w:t>
      </w:r>
    </w:p>
    <w:p>
      <w:pPr>
        <w:pStyle w:val="Heading2"/>
        <w:keepNext/>
        <w:spacing w:before="160" w:after="80"/>
      </w:pPr>
      <w:r>
        <w:rPr>
          <w:rFonts w:ascii="Liberation Sans" w:hAnsi="Liberation Sans"/>
          <w:b/>
          <w:color w:val="365D75"/>
          <w:sz w:val="25"/>
        </w:rPr>
        <w:t>15.1 First prototype acceptance criteria</w:t>
      </w:r>
    </w:p>
    <w:p>
      <w:pPr>
        <w:pStyle w:val="ListBullet"/>
        <w:spacing w:before="0" w:after="60" w:line="259" w:lineRule="auto"/>
      </w:pPr>
      <w:r>
        <w:rPr>
          <w:rFonts w:ascii="Liberation Sans" w:hAnsi="Liberation Sans"/>
          <w:color w:val="1F2328"/>
          <w:sz w:val="20"/>
        </w:rPr>
        <w:t>A user can describe a proposed exchange in ordinary language.</w:t>
      </w:r>
    </w:p>
    <w:p>
      <w:pPr>
        <w:pStyle w:val="ListBullet"/>
        <w:spacing w:before="0" w:after="60" w:line="259" w:lineRule="auto"/>
      </w:pPr>
      <w:r>
        <w:rPr>
          <w:rFonts w:ascii="Liberation Sans" w:hAnsi="Liberation Sans"/>
          <w:color w:val="1F2328"/>
          <w:sz w:val="20"/>
        </w:rPr>
        <w:t>The system extracts parties, contributions, durations, expenses, equipment, settlement, and missing facts.</w:t>
      </w:r>
    </w:p>
    <w:p>
      <w:pPr>
        <w:pStyle w:val="ListBullet"/>
        <w:spacing w:before="0" w:after="60" w:line="259" w:lineRule="auto"/>
      </w:pPr>
      <w:r>
        <w:rPr>
          <w:rFonts w:ascii="Liberation Sans" w:hAnsi="Liberation Sans"/>
          <w:color w:val="1F2328"/>
          <w:sz w:val="20"/>
        </w:rPr>
        <w:t>Every inferred fact is marked as an assumption until confirmed.</w:t>
      </w:r>
    </w:p>
    <w:p>
      <w:pPr>
        <w:pStyle w:val="ListBullet"/>
        <w:spacing w:before="0" w:after="60" w:line="259" w:lineRule="auto"/>
      </w:pPr>
      <w:r>
        <w:rPr>
          <w:rFonts w:ascii="Liberation Sans" w:hAnsi="Liberation Sans"/>
          <w:color w:val="1F2328"/>
          <w:sz w:val="20"/>
        </w:rPr>
        <w:t>The KingdomWatt kernel returns invoice-mode and full-value totals in KW₭.</w:t>
      </w:r>
    </w:p>
    <w:p>
      <w:pPr>
        <w:pStyle w:val="ListBullet"/>
        <w:spacing w:before="0" w:after="60" w:line="259" w:lineRule="auto"/>
      </w:pPr>
      <w:r>
        <w:rPr>
          <w:rFonts w:ascii="Liberation Sans" w:hAnsi="Liberation Sans"/>
          <w:color w:val="1F2328"/>
          <w:sz w:val="20"/>
        </w:rPr>
        <w:t>The interface shows the implied benevolent contribution before agreement.</w:t>
      </w:r>
    </w:p>
    <w:p>
      <w:pPr>
        <w:pStyle w:val="ListBullet"/>
        <w:spacing w:before="0" w:after="60" w:line="259" w:lineRule="auto"/>
      </w:pPr>
      <w:r>
        <w:rPr>
          <w:rFonts w:ascii="Liberation Sans" w:hAnsi="Liberation Sans"/>
          <w:color w:val="1F2328"/>
          <w:sz w:val="20"/>
        </w:rPr>
        <w:t>The generated agreement distinguishes agreed value, agreed settlement, and obligations.</w:t>
      </w:r>
    </w:p>
    <w:p>
      <w:pPr>
        <w:pStyle w:val="ListBullet"/>
        <w:spacing w:before="0" w:after="60" w:line="259" w:lineRule="auto"/>
      </w:pPr>
      <w:r>
        <w:rPr>
          <w:rFonts w:ascii="Liberation Sans" w:hAnsi="Liberation Sans"/>
          <w:color w:val="1F2328"/>
          <w:sz w:val="20"/>
        </w:rPr>
        <w:t>No transaction enters the official ledger until every listed party accepts the same version.</w:t>
      </w:r>
    </w:p>
    <w:p>
      <w:pPr>
        <w:pStyle w:val="ListBullet"/>
        <w:spacing w:before="0" w:after="60" w:line="259" w:lineRule="auto"/>
      </w:pPr>
      <w:r>
        <w:rPr>
          <w:rFonts w:ascii="Liberation Sans" w:hAnsi="Liberation Sans"/>
          <w:color w:val="1F2328"/>
          <w:sz w:val="20"/>
        </w:rPr>
        <w:t>Outcome fields can later calculate unfulfilled obligation without changing the original agreement.</w:t>
      </w:r>
    </w:p>
    <w:p>
      <w:pPr>
        <w:pStyle w:val="Heading2"/>
        <w:keepNext/>
        <w:spacing w:before="160" w:after="80"/>
      </w:pPr>
      <w:r>
        <w:rPr>
          <w:rFonts w:ascii="Liberation Sans" w:hAnsi="Liberation Sans"/>
          <w:b/>
          <w:color w:val="365D75"/>
          <w:sz w:val="25"/>
        </w:rPr>
        <w:t>15.2 Change-control rule</w:t>
      </w:r>
    </w:p>
    <w:p>
      <w:pPr>
        <w:spacing w:before="0" w:after="120" w:line="269" w:lineRule="auto"/>
      </w:pPr>
      <w:r>
        <w:rPr>
          <w:rFonts w:ascii="Liberation Sans" w:hAnsi="Liberation Sans"/>
          <w:i w:val="0"/>
          <w:color w:val="1F2328"/>
          <w:sz w:val="20"/>
        </w:rPr>
        <w:t>Any future change to formulas, coefficients, reputation meaning, benevolent contribution, or AI authority must create a new protocol version. Historical transactions remain attached to the version accepted when their agreement was formed.</w:t>
      </w:r>
    </w:p>
    <w:tbl>
      <w:tblPr>
        <w:tblW w:type="auto" w:w="0"/>
        <w:jc w:val="center"/>
        <w:tblLayout w:type="fixed"/>
        <w:tblLook w:firstColumn="1" w:firstRow="1" w:lastColumn="0" w:lastRow="0" w:noHBand="0" w:noVBand="1" w:val="04A0"/>
      </w:tblPr>
      <w:tblGrid>
        <w:gridCol w:w="173"/>
        <w:gridCol w:w="9576"/>
      </w:tblGrid>
      <w:tr>
        <w:tc>
          <w:tcPr>
            <w:tcW w:type="dxa" w:w="173"/>
            <w:shd w:fill="B8923B"/>
            <w:vAlign w:val="center"/>
            <w:tcBorders>
              <w:top w:val="nil"/>
              <w:left w:val="nil"/>
              <w:bottom w:val="nil"/>
              <w:right w:val="nil"/>
            </w:tcBorders>
          </w:tcPr>
          <w:p/>
        </w:tc>
        <w:tc>
          <w:tcPr>
            <w:tcW w:type="dxa" w:w="9576"/>
            <w:shd w:fill="FAF8F2"/>
            <w:vAlign w:val="center"/>
            <w:tcBorders>
              <w:top w:val="nil"/>
              <w:left w:val="nil"/>
              <w:bottom w:val="nil"/>
              <w:right w:val="nil"/>
            </w:tcBorders>
          </w:tcPr>
          <w:p>
            <w:pPr>
              <w:spacing w:after="40"/>
            </w:pPr>
            <w:r>
              <w:rPr>
                <w:rFonts w:ascii="Liberation Sans" w:hAnsi="Liberation Sans"/>
                <w:b/>
                <w:color w:val="1F2328"/>
                <w:sz w:val="20"/>
              </w:rPr>
              <w:t>Next materialization target</w:t>
            </w:r>
          </w:p>
          <w:p>
            <w:pPr>
              <w:spacing w:after="0" w:line="259" w:lineRule="auto"/>
            </w:pPr>
            <w:r>
              <w:rPr>
                <w:rFonts w:ascii="Liberation Sans" w:hAnsi="Liberation Sans"/>
                <w:color w:val="1F2328"/>
                <w:sz w:val="19"/>
              </w:rPr>
              <w:t>Convert this protocol into an interactive single-party Fair Deal Interview prototype backed by the companion JSON schema and the existing KingdomWatt kernel.</w:t>
            </w:r>
          </w:p>
        </w:tc>
      </w:tr>
    </w:tbl>
    <w:p>
      <w:pPr>
        <w:spacing w:after="20"/>
      </w:pPr>
    </w:p>
    <w:p>
      <w:pPr>
        <w:spacing w:before="400"/>
        <w:jc w:val="center"/>
      </w:pPr>
      <w:r>
        <w:rPr>
          <w:rFonts w:ascii="Liberation Sans" w:hAnsi="Liberation Sans"/>
          <w:b/>
          <w:color w:val="B8923B"/>
          <w:sz w:val="18"/>
        </w:rPr>
        <w:t>END OF VERSION 0.1</w:t>
      </w:r>
    </w:p>
    <w:sectPr w:rsidR="00FC693F" w:rsidRPr="0006063C" w:rsidSect="00034616">
      <w:headerReference w:type="default" r:id="rId9"/>
      <w:footerReference w:type="default" r:id="rId10"/>
      <w:pgSz w:w="12240" w:h="15840"/>
      <w:pgMar w:top="1037" w:right="1123" w:bottom="936"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8352"/>
      <w:gridCol w:w="1584"/>
    </w:tblGrid>
    <w:tr>
      <w:tc>
        <w:tcPr>
          <w:tcW w:type="dxa" w:w="4968"/>
          <w:tcBorders>
            <w:top w:val="nil"/>
            <w:left w:val="nil"/>
            <w:bottom w:val="nil"/>
            <w:right w:val="nil"/>
          </w:tcBorders>
        </w:tcPr>
        <w:p>
          <w:r>
            <w:rPr>
              <w:rFonts w:ascii="Liberation Sans" w:hAnsi="Liberation Sans"/>
              <w:color w:val="505861"/>
              <w:sz w:val="15"/>
            </w:rPr>
            <w:t>Kingdom Fair Deal Protocol v0.1  •  Working constitutional specification</w:t>
          </w:r>
        </w:p>
      </w:tc>
      <w:tc>
        <w:tcPr>
          <w:tcW w:type="dxa" w:w="4968"/>
          <w:tcBorders>
            <w:top w:val="nil"/>
            <w:left w:val="nil"/>
            <w:bottom w:val="nil"/>
            <w:right w:val="nil"/>
          </w:tcBorders>
        </w:tcPr>
        <w:p>
          <w:pPr>
            <w:jc w:val="right"/>
          </w:pPr>
          <w:r>
            <w:rPr>
              <w:rFonts w:ascii="Liberation Sans" w:hAnsi="Liberation Sans"/>
              <w:color w:val="505861"/>
              <w:sz w:val="16"/>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B8923B"/>
        <w:sz w:val="15"/>
      </w:rPr>
      <w:t>KINGDOM INFRASTRUCTURE  /  DESIGN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rPr>
  </w:style>
  <w:style w:type="paragraph" w:styleId="ListBullet2">
    <w:name w:val="List Bullet 2"/>
    <w:basedOn w:val="Normal"/>
    <w:uiPriority w:val="99"/>
    <w:unhideWhenUsed/>
    <w:rsid w:val="00326F90"/>
    <w:pPr>
      <w:numPr>
        <w:numId w:val="2"/>
      </w:numPr>
      <w:contextualSpacing/>
    </w:pPr>
    <w:rPr>
      <w:rFonts w:ascii="Liberation Sans" w:hAnsi="Liberation Sans"/>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rPr>
  </w:style>
  <w:style w:type="paragraph" w:styleId="ListNumber2">
    <w:name w:val="List Number 2"/>
    <w:basedOn w:val="Normal"/>
    <w:uiPriority w:val="99"/>
    <w:unhideWhenUsed/>
    <w:rsid w:val="0029639D"/>
    <w:pPr>
      <w:numPr>
        <w:numId w:val="6"/>
      </w:numPr>
      <w:contextualSpacing/>
    </w:pPr>
    <w:rPr>
      <w:rFonts w:ascii="Liberation Sans" w:hAnsi="Liberation Sans"/>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Kingdom Fair Deal Protocol v0.1</dc:title>
  <dc:subject>Energy-first non-commission negotiation and transaction protocol</dc:subject>
  <dc:creator>STVcentral’s Kingdom Infrastructure</dc:creator>
  <cp:keywords>KingdomWatt, fair deal, benevolent contribution, transaction reputation, AI negotiation</cp:keywords>
  <dc:description>Working constitutional specification created July 14, 2026.</dc:description>
  <cp:lastModifiedBy/>
  <cp:revision>1</cp:revision>
  <dcterms:created xsi:type="dcterms:W3CDTF">2013-12-23T23:15:00Z</dcterms:created>
  <dcterms:modified xsi:type="dcterms:W3CDTF">2013-12-23T23:15:00Z</dcterms:modified>
  <cp:category/>
</cp:coreProperties>
</file>