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3A8A"/>
          <w:sz w:val="60"/>
        </w:rPr>
        <w:t>Housing Stability Grant — Annual Outcome Report</w:t>
      </w:r>
    </w:p>
    <w:p>
      <w:pPr>
        <w:jc w:val="center"/>
      </w:pPr>
      <w:r>
        <w:rPr>
          <w:color w:val="64748B"/>
          <w:sz w:val="36"/>
        </w:rPr>
        <w:t>Housing Stability Grant</w:t>
      </w:r>
    </w:p>
    <w:p>
      <w:pPr>
        <w:jc w:val="center"/>
      </w:pPr>
      <w:r>
        <w:rPr>
          <w:color w:val="64748B"/>
          <w:sz w:val="22"/>
        </w:rPr>
        <w:t>Reporting Period: July 01, 2024 – June 30, 2025</w:t>
      </w:r>
    </w:p>
    <w:p>
      <w:pPr>
        <w:jc w:val="center"/>
      </w:pPr>
      <w:r>
        <w:rPr>
          <w:color w:val="64748B"/>
          <w:sz w:val="22"/>
        </w:rPr>
        <w:t>Prepared by: Program Data &amp; Evaluation Team</w:t>
      </w:r>
    </w:p>
    <w:p>
      <w:pPr>
        <w:jc w:val="center"/>
      </w:pPr>
      <w:r>
        <w:rPr>
          <w:color w:val="64748B"/>
          <w:sz w:val="22"/>
        </w:rPr>
        <w:t>Generated: August 01, 2026</w:t>
      </w:r>
    </w:p>
    <w:p>
      <w:pPr>
        <w:jc w:val="center"/>
      </w:pPr>
      <w:r>
        <w:rPr>
          <w:color w:val="64748B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During the reporting period (July 2024–June 2025), Housing Stability Grant programs enrolled 260 clients across 260 households (472 individuals). Of 145 exits, 93 (64.1%) were successful and 93 (64.1%) went to permanent housing. Median household income change at exit was $0, with 46.8% of households increasing income. 5 of 5 performance measures met their targets. Headline: 64.1% of the 145 exits this period were successful, against 5 tracked measures (5 met, 0 missed).</w:t>
      </w:r>
    </w:p>
    <w:p>
      <w:r>
        <w:rPr>
          <w:color w:val="64748B"/>
          <w:sz w:val="18"/>
        </w:rPr>
        <w:t>Narrative mode: Deterministic narrative (non-AI mode).</w:t>
      </w:r>
    </w:p>
    <w:p>
      <w:pPr>
        <w:pStyle w:val="Heading1"/>
      </w:pPr>
      <w:r>
        <w:t>Data Quality Statement</w:t>
      </w:r>
    </w:p>
    <w:p>
      <w:r>
        <w:t>Audited 263 records for Housing Stability Grant: overall data quality score 85.1/100 (grade B). Findings by severity: 9 critical, 31 high, 27 medium, 10 low, 38 informational. 5 blocking issue type(s) must be resolved before submission: Missing required fields, Missing exit destination, Duplicate client enrollment, Unknown program.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ListBullet"/>
      </w:pPr>
      <w:r>
        <w:t>Exit before enrollment — 3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117</w:t>
            </w:r>
          </w:p>
        </w:tc>
      </w:tr>
      <w:tr>
        <w:tc>
          <w:tcPr>
            <w:tcW w:type="dxa" w:w="4320"/>
          </w:tcPr>
          <w:p>
            <w:r>
              <w:t>Non-Binary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Transgender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F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