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7910" w14:textId="77777777" w:rsidR="00DC21F5" w:rsidRPr="00DC21F5" w:rsidRDefault="00DC21F5" w:rsidP="00DC21F5">
      <w:pPr>
        <w:shd w:val="clear" w:color="auto" w:fill="FFFFFF"/>
        <w:spacing w:after="195" w:line="288" w:lineRule="atLeast"/>
        <w:textAlignment w:val="baseline"/>
        <w:outlineLvl w:val="0"/>
        <w:rPr>
          <w:rFonts w:ascii="Helvetica" w:eastAsia="Times New Roman" w:hAnsi="Helvetica" w:cs="Arial"/>
          <w:color w:val="B2282D"/>
          <w:kern w:val="36"/>
          <w:sz w:val="42"/>
          <w:szCs w:val="42"/>
        </w:rPr>
      </w:pPr>
      <w:r w:rsidRPr="00DC21F5">
        <w:rPr>
          <w:rFonts w:ascii="Helvetica" w:eastAsia="Times New Roman" w:hAnsi="Helvetica" w:cs="Arial"/>
          <w:color w:val="B2282D"/>
          <w:kern w:val="36"/>
          <w:sz w:val="42"/>
          <w:szCs w:val="42"/>
        </w:rPr>
        <w:t>TRITON Actor TTP Profile, Custom Attack Tools, Detections, and ATT&amp;CK Mapping</w:t>
      </w:r>
    </w:p>
    <w:p w14:paraId="5F4219E7" w14:textId="77777777" w:rsidR="00DC21F5" w:rsidRPr="00DC21F5" w:rsidRDefault="00DC21F5" w:rsidP="00DC21F5">
      <w:pPr>
        <w:shd w:val="clear" w:color="auto" w:fill="FFFFFF"/>
        <w:textAlignment w:val="baseline"/>
        <w:rPr>
          <w:rFonts w:ascii="Helvetica" w:eastAsia="Times New Roman" w:hAnsi="Helvetica" w:cs="Arial"/>
          <w:color w:val="444444"/>
          <w:sz w:val="21"/>
          <w:szCs w:val="21"/>
        </w:rPr>
      </w:pPr>
      <w:r w:rsidRPr="00DC21F5">
        <w:rPr>
          <w:rFonts w:ascii="Helvetica" w:eastAsia="Times New Roman" w:hAnsi="Helvetica" w:cs="Arial"/>
          <w:color w:val="444444"/>
          <w:sz w:val="21"/>
          <w:szCs w:val="21"/>
        </w:rPr>
        <w:t>April 10, 2019 </w:t>
      </w:r>
      <w:r w:rsidRPr="00DC21F5">
        <w:rPr>
          <w:rFonts w:ascii="inherit" w:eastAsia="Times New Roman" w:hAnsi="inherit" w:cs="Arial"/>
          <w:color w:val="444444"/>
          <w:sz w:val="21"/>
          <w:szCs w:val="21"/>
          <w:bdr w:val="none" w:sz="0" w:space="0" w:color="auto" w:frame="1"/>
        </w:rPr>
        <w:t>| by </w:t>
      </w:r>
      <w:hyperlink r:id="rId5" w:tooltip="View all entries filed under 'Fireeye - Authors : Steve Miller'" w:history="1">
        <w:r w:rsidRPr="00DC21F5">
          <w:rPr>
            <w:rFonts w:ascii="inherit" w:eastAsia="Times New Roman" w:hAnsi="inherit" w:cs="Arial"/>
            <w:color w:val="2E5799"/>
            <w:sz w:val="21"/>
            <w:szCs w:val="21"/>
            <w:bdr w:val="none" w:sz="0" w:space="0" w:color="auto" w:frame="1"/>
          </w:rPr>
          <w:t>Steve Miller</w:t>
        </w:r>
      </w:hyperlink>
      <w:r w:rsidRPr="00DC21F5">
        <w:rPr>
          <w:rFonts w:ascii="inherit" w:eastAsia="Times New Roman" w:hAnsi="inherit" w:cs="Arial"/>
          <w:color w:val="444444"/>
          <w:sz w:val="21"/>
          <w:szCs w:val="21"/>
          <w:bdr w:val="none" w:sz="0" w:space="0" w:color="auto" w:frame="1"/>
        </w:rPr>
        <w:t>, </w:t>
      </w:r>
      <w:hyperlink r:id="rId6" w:tooltip="View all entries filed under 'Fireeye - Authors : Nathan Brubaker'" w:history="1">
        <w:r w:rsidRPr="00DC21F5">
          <w:rPr>
            <w:rFonts w:ascii="inherit" w:eastAsia="Times New Roman" w:hAnsi="inherit" w:cs="Arial"/>
            <w:color w:val="2E5799"/>
            <w:sz w:val="21"/>
            <w:szCs w:val="21"/>
            <w:bdr w:val="none" w:sz="0" w:space="0" w:color="auto" w:frame="1"/>
          </w:rPr>
          <w:t>Nathan Brubaker</w:t>
        </w:r>
      </w:hyperlink>
      <w:r w:rsidRPr="00DC21F5">
        <w:rPr>
          <w:rFonts w:ascii="inherit" w:eastAsia="Times New Roman" w:hAnsi="inherit" w:cs="Arial"/>
          <w:color w:val="444444"/>
          <w:sz w:val="21"/>
          <w:szCs w:val="21"/>
          <w:bdr w:val="none" w:sz="0" w:space="0" w:color="auto" w:frame="1"/>
        </w:rPr>
        <w:t>, </w:t>
      </w:r>
      <w:hyperlink r:id="rId7" w:tooltip="View all entries filed under 'Fireeye - Authors : Daniel Kapellmann Zafra'" w:history="1">
        <w:r w:rsidRPr="00DC21F5">
          <w:rPr>
            <w:rFonts w:ascii="inherit" w:eastAsia="Times New Roman" w:hAnsi="inherit" w:cs="Arial"/>
            <w:color w:val="2E5799"/>
            <w:sz w:val="21"/>
            <w:szCs w:val="21"/>
            <w:bdr w:val="none" w:sz="0" w:space="0" w:color="auto" w:frame="1"/>
          </w:rPr>
          <w:t xml:space="preserve">Daniel </w:t>
        </w:r>
        <w:proofErr w:type="spellStart"/>
        <w:r w:rsidRPr="00DC21F5">
          <w:rPr>
            <w:rFonts w:ascii="inherit" w:eastAsia="Times New Roman" w:hAnsi="inherit" w:cs="Arial"/>
            <w:color w:val="2E5799"/>
            <w:sz w:val="21"/>
            <w:szCs w:val="21"/>
            <w:bdr w:val="none" w:sz="0" w:space="0" w:color="auto" w:frame="1"/>
          </w:rPr>
          <w:t>Kapellmann</w:t>
        </w:r>
        <w:proofErr w:type="spellEnd"/>
        <w:r w:rsidRPr="00DC21F5">
          <w:rPr>
            <w:rFonts w:ascii="inherit" w:eastAsia="Times New Roman" w:hAnsi="inherit" w:cs="Arial"/>
            <w:color w:val="2E5799"/>
            <w:sz w:val="21"/>
            <w:szCs w:val="21"/>
            <w:bdr w:val="none" w:sz="0" w:space="0" w:color="auto" w:frame="1"/>
          </w:rPr>
          <w:t xml:space="preserve"> </w:t>
        </w:r>
        <w:proofErr w:type="spellStart"/>
        <w:r w:rsidRPr="00DC21F5">
          <w:rPr>
            <w:rFonts w:ascii="inherit" w:eastAsia="Times New Roman" w:hAnsi="inherit" w:cs="Arial"/>
            <w:color w:val="2E5799"/>
            <w:sz w:val="21"/>
            <w:szCs w:val="21"/>
            <w:bdr w:val="none" w:sz="0" w:space="0" w:color="auto" w:frame="1"/>
          </w:rPr>
          <w:t>Zafra</w:t>
        </w:r>
        <w:proofErr w:type="spellEnd"/>
      </w:hyperlink>
      <w:r w:rsidRPr="00DC21F5">
        <w:rPr>
          <w:rFonts w:ascii="inherit" w:eastAsia="Times New Roman" w:hAnsi="inherit" w:cs="Arial"/>
          <w:color w:val="444444"/>
          <w:sz w:val="21"/>
          <w:szCs w:val="21"/>
          <w:bdr w:val="none" w:sz="0" w:space="0" w:color="auto" w:frame="1"/>
        </w:rPr>
        <w:t>, </w:t>
      </w:r>
      <w:hyperlink r:id="rId8" w:tooltip="View all entries filed under 'Fireeye - Authors : Dan Caban'" w:history="1">
        <w:r w:rsidRPr="00DC21F5">
          <w:rPr>
            <w:rFonts w:ascii="inherit" w:eastAsia="Times New Roman" w:hAnsi="inherit" w:cs="Arial"/>
            <w:color w:val="2E5799"/>
            <w:sz w:val="21"/>
            <w:szCs w:val="21"/>
            <w:bdr w:val="none" w:sz="0" w:space="0" w:color="auto" w:frame="1"/>
          </w:rPr>
          <w:t xml:space="preserve">Dan </w:t>
        </w:r>
        <w:proofErr w:type="spellStart"/>
        <w:r w:rsidRPr="00DC21F5">
          <w:rPr>
            <w:rFonts w:ascii="inherit" w:eastAsia="Times New Roman" w:hAnsi="inherit" w:cs="Arial"/>
            <w:color w:val="2E5799"/>
            <w:sz w:val="21"/>
            <w:szCs w:val="21"/>
            <w:bdr w:val="none" w:sz="0" w:space="0" w:color="auto" w:frame="1"/>
          </w:rPr>
          <w:t>Caban</w:t>
        </w:r>
        <w:proofErr w:type="spellEnd"/>
      </w:hyperlink>
    </w:p>
    <w:p w14:paraId="05E88A83" w14:textId="77777777" w:rsidR="00DC21F5" w:rsidRPr="00DC21F5" w:rsidRDefault="00DC21F5" w:rsidP="00DC21F5">
      <w:pPr>
        <w:shd w:val="clear" w:color="auto" w:fill="FFFFFF"/>
        <w:textAlignment w:val="baseline"/>
        <w:rPr>
          <w:rFonts w:ascii="inherit" w:eastAsia="Times New Roman" w:hAnsi="inherit" w:cs="Arial"/>
          <w:color w:val="444444"/>
          <w:sz w:val="21"/>
          <w:szCs w:val="21"/>
        </w:rPr>
      </w:pPr>
      <w:hyperlink r:id="rId9" w:history="1">
        <w:r w:rsidRPr="00DC21F5">
          <w:rPr>
            <w:rFonts w:ascii="inherit" w:eastAsia="Times New Roman" w:hAnsi="inherit" w:cs="Arial"/>
            <w:b/>
            <w:bCs/>
            <w:caps/>
            <w:color w:val="F9F9FA"/>
            <w:sz w:val="17"/>
            <w:szCs w:val="17"/>
            <w:bdr w:val="none" w:sz="0" w:space="0" w:color="auto" w:frame="1"/>
          </w:rPr>
          <w:t>MALWARE</w:t>
        </w:r>
      </w:hyperlink>
      <w:r w:rsidRPr="00DC21F5">
        <w:rPr>
          <w:rFonts w:ascii="inherit" w:eastAsia="Times New Roman" w:hAnsi="inherit" w:cs="Arial"/>
          <w:color w:val="444444"/>
          <w:sz w:val="21"/>
          <w:szCs w:val="21"/>
        </w:rPr>
        <w:t> </w:t>
      </w:r>
      <w:hyperlink r:id="rId10" w:history="1">
        <w:r w:rsidRPr="00DC21F5">
          <w:rPr>
            <w:rFonts w:ascii="inherit" w:eastAsia="Times New Roman" w:hAnsi="inherit" w:cs="Arial"/>
            <w:b/>
            <w:bCs/>
            <w:caps/>
            <w:color w:val="F9F9FA"/>
            <w:sz w:val="17"/>
            <w:szCs w:val="17"/>
            <w:bdr w:val="none" w:sz="0" w:space="0" w:color="auto" w:frame="1"/>
          </w:rPr>
          <w:t>TTPS</w:t>
        </w:r>
      </w:hyperlink>
      <w:r w:rsidRPr="00DC21F5">
        <w:rPr>
          <w:rFonts w:ascii="inherit" w:eastAsia="Times New Roman" w:hAnsi="inherit" w:cs="Arial"/>
          <w:color w:val="444444"/>
          <w:sz w:val="21"/>
          <w:szCs w:val="21"/>
        </w:rPr>
        <w:t> </w:t>
      </w:r>
      <w:hyperlink r:id="rId11" w:history="1">
        <w:r w:rsidRPr="00DC21F5">
          <w:rPr>
            <w:rFonts w:ascii="inherit" w:eastAsia="Times New Roman" w:hAnsi="inherit" w:cs="Arial"/>
            <w:b/>
            <w:bCs/>
            <w:caps/>
            <w:color w:val="F9F9FA"/>
            <w:sz w:val="17"/>
            <w:szCs w:val="17"/>
            <w:bdr w:val="none" w:sz="0" w:space="0" w:color="auto" w:frame="1"/>
          </w:rPr>
          <w:t>ICS SECURITY</w:t>
        </w:r>
      </w:hyperlink>
    </w:p>
    <w:p w14:paraId="45168407" w14:textId="77777777" w:rsidR="00DC21F5" w:rsidRPr="00DC21F5" w:rsidRDefault="00DC21F5" w:rsidP="00DC21F5">
      <w:pPr>
        <w:shd w:val="clear" w:color="auto" w:fill="FFFFFF"/>
        <w:spacing w:after="195"/>
        <w:textAlignment w:val="baseline"/>
        <w:outlineLvl w:val="3"/>
        <w:rPr>
          <w:rFonts w:ascii="Helvetica" w:eastAsia="Times New Roman" w:hAnsi="Helvetica" w:cs="Arial"/>
          <w:color w:val="44474D"/>
          <w:sz w:val="30"/>
          <w:szCs w:val="30"/>
        </w:rPr>
      </w:pPr>
      <w:r w:rsidRPr="00DC21F5">
        <w:rPr>
          <w:rFonts w:ascii="Helvetica" w:eastAsia="Times New Roman" w:hAnsi="Helvetica" w:cs="Arial"/>
          <w:color w:val="44474D"/>
          <w:sz w:val="30"/>
          <w:szCs w:val="30"/>
        </w:rPr>
        <w:t>Overview</w:t>
      </w:r>
    </w:p>
    <w:p w14:paraId="0BD3E27A" w14:textId="77777777"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FireEye can now confirm that we have uncovered and are responding to </w:t>
      </w:r>
      <w:r w:rsidRPr="00DC21F5">
        <w:rPr>
          <w:rFonts w:ascii="Helvetica" w:eastAsia="Times New Roman" w:hAnsi="Helvetica" w:cs="Arial"/>
          <w:color w:val="222222"/>
          <w:sz w:val="21"/>
          <w:szCs w:val="21"/>
          <w:bdr w:val="none" w:sz="0" w:space="0" w:color="auto" w:frame="1"/>
        </w:rPr>
        <w:t>an additional intrusion by the attacker behind TRITON at a different critical infrastructure facility</w:t>
      </w:r>
      <w:r w:rsidRPr="00DC21F5">
        <w:rPr>
          <w:rFonts w:ascii="Helvetica" w:eastAsia="Times New Roman" w:hAnsi="Helvetica" w:cs="Arial"/>
          <w:color w:val="222222"/>
          <w:sz w:val="21"/>
          <w:szCs w:val="21"/>
        </w:rPr>
        <w:t>.</w:t>
      </w:r>
    </w:p>
    <w:p w14:paraId="5AA4254E" w14:textId="77777777"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In December 2017, FireEye publicly released our first analysis on the </w:t>
      </w:r>
      <w:hyperlink r:id="rId12" w:history="1">
        <w:r w:rsidRPr="00DC21F5">
          <w:rPr>
            <w:rFonts w:ascii="inherit" w:eastAsia="Times New Roman" w:hAnsi="inherit" w:cs="Arial"/>
            <w:color w:val="2E5799"/>
            <w:sz w:val="21"/>
            <w:szCs w:val="21"/>
            <w:bdr w:val="none" w:sz="0" w:space="0" w:color="auto" w:frame="1"/>
          </w:rPr>
          <w:t>TRITON attack</w:t>
        </w:r>
      </w:hyperlink>
      <w:r w:rsidRPr="00DC21F5">
        <w:rPr>
          <w:rFonts w:ascii="Helvetica" w:eastAsia="Times New Roman" w:hAnsi="Helvetica" w:cs="Arial"/>
          <w:color w:val="222222"/>
          <w:sz w:val="21"/>
          <w:szCs w:val="21"/>
        </w:rPr>
        <w:t> where malicious actors used the TRITON custom attack framework to manipulate industrial safety systems at a critical infrastructure facility and inadvertently caused a process shutdown. In subsequent </w:t>
      </w:r>
      <w:hyperlink r:id="rId13" w:history="1">
        <w:r w:rsidRPr="00DC21F5">
          <w:rPr>
            <w:rFonts w:ascii="inherit" w:eastAsia="Times New Roman" w:hAnsi="inherit" w:cs="Arial"/>
            <w:color w:val="2E5799"/>
            <w:sz w:val="21"/>
            <w:szCs w:val="21"/>
            <w:bdr w:val="none" w:sz="0" w:space="0" w:color="auto" w:frame="1"/>
          </w:rPr>
          <w:t>research</w:t>
        </w:r>
      </w:hyperlink>
      <w:r w:rsidRPr="00DC21F5">
        <w:rPr>
          <w:rFonts w:ascii="Helvetica" w:eastAsia="Times New Roman" w:hAnsi="Helvetica" w:cs="Arial"/>
          <w:color w:val="222222"/>
          <w:sz w:val="21"/>
          <w:szCs w:val="21"/>
        </w:rPr>
        <w:t> we examined how the attackers may have gained access to critical components needed to build the TRITON attack framework. In our most recent </w:t>
      </w:r>
      <w:hyperlink r:id="rId14" w:history="1">
        <w:r w:rsidRPr="00DC21F5">
          <w:rPr>
            <w:rFonts w:ascii="inherit" w:eastAsia="Times New Roman" w:hAnsi="inherit" w:cs="Arial"/>
            <w:color w:val="2E5799"/>
            <w:sz w:val="21"/>
            <w:szCs w:val="21"/>
            <w:bdr w:val="none" w:sz="0" w:space="0" w:color="auto" w:frame="1"/>
          </w:rPr>
          <w:t>analysis</w:t>
        </w:r>
      </w:hyperlink>
      <w:r w:rsidRPr="00DC21F5">
        <w:rPr>
          <w:rFonts w:ascii="Helvetica" w:eastAsia="Times New Roman" w:hAnsi="Helvetica" w:cs="Arial"/>
          <w:color w:val="222222"/>
          <w:sz w:val="21"/>
          <w:szCs w:val="21"/>
        </w:rPr>
        <w:t>, we attributed the intrusion activity that led to the deployment of TRITON to a Russian government-owned technical research institute in Moscow.</w:t>
      </w:r>
    </w:p>
    <w:p w14:paraId="66380A02"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The TRITON intrusion is shrouded in mystery. There has been some public discussion surrounding the TRITON framework and its impact at the target site, yet little to no information has been shared on the tactics, techniques, and procedures (TTPs) related to the intrusion lifecycle, or how the attack made it deep enough to impact the industrial processes. The TRITON framework itself and the intrusion tools the actor used were built and deployed by humans, all of whom had observable human strategies, preferences, and conventions for the custom tooling of the intrusion operation. It is our goal to discuss these adversary methods and highlight exactly how the developer(s), operator(s) and others involved used custom tools in the intrusion.</w:t>
      </w:r>
    </w:p>
    <w:p w14:paraId="0EE4E56B"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In this report we continue our research of the actor’s operations with a specific focus on a selection of custom information technology (IT) tools and tactics the threat actor leveraged during the early stages of the targeted attack lifecycle (Figure 1). The information in this report is derived from multiple TRITON-related incident responses carried out by FireEye Mandiant.</w:t>
      </w:r>
    </w:p>
    <w:p w14:paraId="7E41E28E"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Using the methodologies described in this post, FireEye Mandiant incident responders have uncovered additional intrusion activity from this threat actor – including new custom tool sets – at a second critical infrastructure facility. As such, we strongly encourage industrial control system (ICS) asset owners to leverage the indicators, TTPs, and detections included in this post to improve their defenses and hunt for related activity in their networks.</w:t>
      </w:r>
    </w:p>
    <w:p w14:paraId="409D53A1" w14:textId="77777777"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For IT and operational technology (OT) incident response support, please contact </w:t>
      </w:r>
      <w:hyperlink r:id="rId15" w:history="1">
        <w:r w:rsidRPr="00DC21F5">
          <w:rPr>
            <w:rFonts w:ascii="inherit" w:eastAsia="Times New Roman" w:hAnsi="inherit" w:cs="Arial"/>
            <w:color w:val="2E5799"/>
            <w:sz w:val="21"/>
            <w:szCs w:val="21"/>
            <w:bdr w:val="none" w:sz="0" w:space="0" w:color="auto" w:frame="1"/>
          </w:rPr>
          <w:t>FireEye Mandiant</w:t>
        </w:r>
      </w:hyperlink>
      <w:r w:rsidRPr="00DC21F5">
        <w:rPr>
          <w:rFonts w:ascii="Helvetica" w:eastAsia="Times New Roman" w:hAnsi="Helvetica" w:cs="Arial"/>
          <w:color w:val="222222"/>
          <w:sz w:val="21"/>
          <w:szCs w:val="21"/>
        </w:rPr>
        <w:t>. For more in-depth analysis of TRITON and other cyber threats, consider subscribing to </w:t>
      </w:r>
      <w:hyperlink r:id="rId16" w:history="1">
        <w:r w:rsidRPr="00DC21F5">
          <w:rPr>
            <w:rFonts w:ascii="inherit" w:eastAsia="Times New Roman" w:hAnsi="inherit" w:cs="Arial"/>
            <w:color w:val="2E5799"/>
            <w:sz w:val="21"/>
            <w:szCs w:val="21"/>
            <w:bdr w:val="none" w:sz="0" w:space="0" w:color="auto" w:frame="1"/>
          </w:rPr>
          <w:t>FireEye Cyber Threat Intelligence</w:t>
        </w:r>
      </w:hyperlink>
      <w:r w:rsidRPr="00DC21F5">
        <w:rPr>
          <w:rFonts w:ascii="Helvetica" w:eastAsia="Times New Roman" w:hAnsi="Helvetica" w:cs="Arial"/>
          <w:color w:val="222222"/>
          <w:sz w:val="21"/>
          <w:szCs w:val="21"/>
        </w:rPr>
        <w:t>.</w:t>
      </w:r>
    </w:p>
    <w:p w14:paraId="6E9E0CA5" w14:textId="77777777"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FireEye’s </w:t>
      </w:r>
      <w:proofErr w:type="spellStart"/>
      <w:r w:rsidRPr="00DC21F5">
        <w:rPr>
          <w:rFonts w:ascii="Helvetica" w:eastAsia="Times New Roman" w:hAnsi="Helvetica" w:cs="Arial"/>
          <w:color w:val="222222"/>
          <w:sz w:val="21"/>
          <w:szCs w:val="21"/>
        </w:rPr>
        <w:fldChar w:fldCharType="begin"/>
      </w:r>
      <w:r w:rsidRPr="00DC21F5">
        <w:rPr>
          <w:rFonts w:ascii="Helvetica" w:eastAsia="Times New Roman" w:hAnsi="Helvetica" w:cs="Arial"/>
          <w:color w:val="222222"/>
          <w:sz w:val="21"/>
          <w:szCs w:val="21"/>
        </w:rPr>
        <w:instrText xml:space="preserve"> HYPERLINK "https://www.fireeye.com/company/press-releases/2018/fireeye-unveils-smartvision-edition-to-detect-stealthy--maliciou.html" </w:instrText>
      </w:r>
      <w:r w:rsidRPr="00DC21F5">
        <w:rPr>
          <w:rFonts w:ascii="Helvetica" w:eastAsia="Times New Roman" w:hAnsi="Helvetica" w:cs="Arial"/>
          <w:color w:val="222222"/>
          <w:sz w:val="21"/>
          <w:szCs w:val="21"/>
        </w:rPr>
        <w:fldChar w:fldCharType="separate"/>
      </w:r>
      <w:r w:rsidRPr="00DC21F5">
        <w:rPr>
          <w:rFonts w:ascii="inherit" w:eastAsia="Times New Roman" w:hAnsi="inherit" w:cs="Arial"/>
          <w:color w:val="2E5799"/>
          <w:sz w:val="21"/>
          <w:szCs w:val="21"/>
          <w:bdr w:val="none" w:sz="0" w:space="0" w:color="auto" w:frame="1"/>
        </w:rPr>
        <w:t>SmartVision</w:t>
      </w:r>
      <w:proofErr w:type="spellEnd"/>
      <w:r w:rsidRPr="00DC21F5">
        <w:rPr>
          <w:rFonts w:ascii="Helvetica" w:eastAsia="Times New Roman" w:hAnsi="Helvetica" w:cs="Arial"/>
          <w:color w:val="222222"/>
          <w:sz w:val="21"/>
          <w:szCs w:val="21"/>
        </w:rPr>
        <w:fldChar w:fldCharType="end"/>
      </w:r>
      <w:r w:rsidRPr="00DC21F5">
        <w:rPr>
          <w:rFonts w:ascii="Helvetica" w:eastAsia="Times New Roman" w:hAnsi="Helvetica" w:cs="Arial"/>
          <w:color w:val="222222"/>
          <w:sz w:val="21"/>
          <w:szCs w:val="21"/>
        </w:rPr>
        <w:t> technology, which searches for attackers during lateral movement activities by monitoring east-west traffic in IT and OT networks, reduces the risk of an attack reaching sensitive ICS processes. This is particularly relevant for sophisticated ICS-related intrusions as attackers typically move from corporate IT to OT networks through systems that are accessible to both environments, far beyond perimeter defenses.</w:t>
      </w:r>
    </w:p>
    <w:p w14:paraId="405808E2" w14:textId="77777777" w:rsidR="00DC21F5" w:rsidRPr="00DC21F5" w:rsidRDefault="00DC21F5" w:rsidP="00DC21F5">
      <w:pPr>
        <w:shd w:val="clear" w:color="auto" w:fill="FFFFFF"/>
        <w:spacing w:after="195"/>
        <w:textAlignment w:val="baseline"/>
        <w:outlineLvl w:val="3"/>
        <w:rPr>
          <w:rFonts w:ascii="Helvetica" w:eastAsia="Times New Roman" w:hAnsi="Helvetica" w:cs="Arial"/>
          <w:color w:val="44474D"/>
          <w:sz w:val="30"/>
          <w:szCs w:val="30"/>
        </w:rPr>
      </w:pPr>
      <w:r w:rsidRPr="00DC21F5">
        <w:rPr>
          <w:rFonts w:ascii="Helvetica" w:eastAsia="Times New Roman" w:hAnsi="Helvetica" w:cs="Arial"/>
          <w:color w:val="44474D"/>
          <w:sz w:val="30"/>
          <w:szCs w:val="30"/>
        </w:rPr>
        <w:t>Contents</w:t>
      </w:r>
    </w:p>
    <w:p w14:paraId="0C599228" w14:textId="77777777" w:rsidR="00DC21F5" w:rsidRPr="00DC21F5" w:rsidRDefault="00DC21F5" w:rsidP="00DC21F5">
      <w:pPr>
        <w:numPr>
          <w:ilvl w:val="0"/>
          <w:numId w:val="1"/>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Tools and TTPs</w:t>
      </w:r>
    </w:p>
    <w:p w14:paraId="6348CA04" w14:textId="77777777" w:rsidR="00DC21F5" w:rsidRPr="00DC21F5" w:rsidRDefault="00DC21F5" w:rsidP="00DC21F5">
      <w:pPr>
        <w:numPr>
          <w:ilvl w:val="0"/>
          <w:numId w:val="1"/>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Hunting for ICS-focused threat actors across IT and OT</w:t>
      </w:r>
    </w:p>
    <w:p w14:paraId="7A7AF236" w14:textId="77777777" w:rsidR="00DC21F5" w:rsidRPr="00DC21F5" w:rsidRDefault="00DC21F5" w:rsidP="00DC21F5">
      <w:pPr>
        <w:numPr>
          <w:ilvl w:val="0"/>
          <w:numId w:val="1"/>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Methodology and discovery strategies</w:t>
      </w:r>
    </w:p>
    <w:p w14:paraId="59AAFDFF" w14:textId="77777777" w:rsidR="00DC21F5" w:rsidRPr="00DC21F5" w:rsidRDefault="00DC21F5" w:rsidP="00DC21F5">
      <w:pPr>
        <w:numPr>
          <w:ilvl w:val="0"/>
          <w:numId w:val="1"/>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lastRenderedPageBreak/>
        <w:t>Appendix A: Discovery Rules</w:t>
      </w:r>
    </w:p>
    <w:p w14:paraId="0FDF0D8F" w14:textId="77777777" w:rsidR="00DC21F5" w:rsidRPr="00DC21F5" w:rsidRDefault="00DC21F5" w:rsidP="00DC21F5">
      <w:pPr>
        <w:numPr>
          <w:ilvl w:val="0"/>
          <w:numId w:val="1"/>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Appendix B: Technical Analysis of Custom Attack Tools</w:t>
      </w:r>
    </w:p>
    <w:p w14:paraId="7B17EC54" w14:textId="77777777" w:rsidR="00DC21F5" w:rsidRPr="00DC21F5" w:rsidRDefault="00DC21F5" w:rsidP="00DC21F5">
      <w:pPr>
        <w:numPr>
          <w:ilvl w:val="0"/>
          <w:numId w:val="1"/>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Appendix C: MITRE ATT&amp;CK JSON Raw Data</w:t>
      </w:r>
    </w:p>
    <w:p w14:paraId="5FD25A5C" w14:textId="77777777" w:rsidR="00DC21F5" w:rsidRPr="00DC21F5" w:rsidRDefault="00DC21F5" w:rsidP="00DC21F5">
      <w:pPr>
        <w:numPr>
          <w:ilvl w:val="0"/>
          <w:numId w:val="1"/>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Indicators of Compromise</w:t>
      </w:r>
    </w:p>
    <w:p w14:paraId="23E16167" w14:textId="03836B38"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fldChar w:fldCharType="begin"/>
      </w:r>
      <w:r w:rsidRPr="00DC21F5">
        <w:rPr>
          <w:rFonts w:ascii="Helvetica" w:eastAsia="Times New Roman" w:hAnsi="Helvetica" w:cs="Arial"/>
          <w:color w:val="222222"/>
          <w:sz w:val="21"/>
          <w:szCs w:val="21"/>
        </w:rPr>
        <w:instrText xml:space="preserve"> INCLUDEPICTURE "https://www.fireeye.com/content/dam/fireeye-www/blog/images/TRITON/Picture1.png" \* MERGEFORMATINET </w:instrText>
      </w:r>
      <w:r w:rsidRPr="00DC21F5">
        <w:rPr>
          <w:rFonts w:ascii="Helvetica" w:eastAsia="Times New Roman" w:hAnsi="Helvetica" w:cs="Arial"/>
          <w:color w:val="222222"/>
          <w:sz w:val="21"/>
          <w:szCs w:val="21"/>
        </w:rPr>
        <w:fldChar w:fldCharType="separate"/>
      </w:r>
      <w:r w:rsidRPr="00DC21F5">
        <w:rPr>
          <w:rFonts w:ascii="Helvetica" w:eastAsia="Times New Roman" w:hAnsi="Helvetica" w:cs="Arial"/>
          <w:noProof/>
          <w:color w:val="222222"/>
          <w:sz w:val="21"/>
          <w:szCs w:val="21"/>
        </w:rPr>
        <w:drawing>
          <wp:inline distT="0" distB="0" distL="0" distR="0" wp14:anchorId="1039DA09" wp14:editId="3B6DEF55">
            <wp:extent cx="5943600" cy="16236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23695"/>
                    </a:xfrm>
                    <a:prstGeom prst="rect">
                      <a:avLst/>
                    </a:prstGeom>
                    <a:noFill/>
                    <a:ln>
                      <a:noFill/>
                    </a:ln>
                  </pic:spPr>
                </pic:pic>
              </a:graphicData>
            </a:graphic>
          </wp:inline>
        </w:drawing>
      </w:r>
      <w:r w:rsidRPr="00DC21F5">
        <w:rPr>
          <w:rFonts w:ascii="Helvetica" w:eastAsia="Times New Roman" w:hAnsi="Helvetica" w:cs="Arial"/>
          <w:color w:val="222222"/>
          <w:sz w:val="21"/>
          <w:szCs w:val="21"/>
        </w:rPr>
        <w:fldChar w:fldCharType="end"/>
      </w:r>
      <w:r w:rsidRPr="00DC21F5">
        <w:rPr>
          <w:rFonts w:ascii="Helvetica" w:eastAsia="Times New Roman" w:hAnsi="Helvetica" w:cs="Arial"/>
          <w:color w:val="222222"/>
          <w:sz w:val="21"/>
          <w:szCs w:val="21"/>
        </w:rPr>
        <w:br/>
      </w:r>
      <w:r w:rsidRPr="00DC21F5">
        <w:rPr>
          <w:rFonts w:ascii="inherit" w:eastAsia="Times New Roman" w:hAnsi="inherit" w:cs="Arial"/>
          <w:color w:val="222222"/>
          <w:sz w:val="17"/>
          <w:szCs w:val="17"/>
          <w:bdr w:val="none" w:sz="0" w:space="0" w:color="auto" w:frame="1"/>
        </w:rPr>
        <w:t>Figure 1: The FireEye targeted attack lifecycle</w:t>
      </w:r>
    </w:p>
    <w:p w14:paraId="18626810" w14:textId="77777777" w:rsidR="00DC21F5" w:rsidRPr="00DC21F5" w:rsidRDefault="00DC21F5" w:rsidP="00DC21F5">
      <w:pPr>
        <w:shd w:val="clear" w:color="auto" w:fill="FFFFFF"/>
        <w:spacing w:after="195"/>
        <w:textAlignment w:val="baseline"/>
        <w:outlineLvl w:val="3"/>
        <w:rPr>
          <w:rFonts w:ascii="Helvetica" w:eastAsia="Times New Roman" w:hAnsi="Helvetica" w:cs="Arial"/>
          <w:color w:val="44474D"/>
          <w:sz w:val="30"/>
          <w:szCs w:val="30"/>
        </w:rPr>
      </w:pPr>
      <w:r w:rsidRPr="00DC21F5">
        <w:rPr>
          <w:rFonts w:ascii="Helvetica" w:eastAsia="Times New Roman" w:hAnsi="Helvetica" w:cs="Arial"/>
          <w:color w:val="44474D"/>
          <w:sz w:val="30"/>
          <w:szCs w:val="30"/>
        </w:rPr>
        <w:t>Actor Leveraged a Variety of Custom and Commodity Intrusion Tools</w:t>
      </w:r>
    </w:p>
    <w:p w14:paraId="123EF7C5"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Throughout the targeted attack lifecycle, the actor leveraged dozens of custom and commodity intrusion tools to gain and maintain access to the target's IT and OT networks. A selection of the custom tools that FireEye Mandiant recovered are listed later in this post in Table 1, and hashes are listed in Table 2 at the end of this post. Discovery rules for and technical analysis of these tools, as well as MITRE ATT&amp;CK JSON raw data, is available in Appendix A, Appendix B, and Appendix C.</w:t>
      </w:r>
    </w:p>
    <w:p w14:paraId="14B3FEC3" w14:textId="01C19F73"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lastRenderedPageBreak/>
        <w:fldChar w:fldCharType="begin"/>
      </w:r>
      <w:r w:rsidRPr="00DC21F5">
        <w:rPr>
          <w:rFonts w:ascii="Helvetica" w:eastAsia="Times New Roman" w:hAnsi="Helvetica" w:cs="Arial"/>
          <w:color w:val="222222"/>
          <w:sz w:val="21"/>
          <w:szCs w:val="21"/>
        </w:rPr>
        <w:instrText xml:space="preserve"> INCLUDEPICTURE "https://www.fireeye.com/content/dam/fireeye-www/blog/images/TRITON/Picture2.png" \* MERGEFORMATINET </w:instrText>
      </w:r>
      <w:r w:rsidRPr="00DC21F5">
        <w:rPr>
          <w:rFonts w:ascii="Helvetica" w:eastAsia="Times New Roman" w:hAnsi="Helvetica" w:cs="Arial"/>
          <w:color w:val="222222"/>
          <w:sz w:val="21"/>
          <w:szCs w:val="21"/>
        </w:rPr>
        <w:fldChar w:fldCharType="separate"/>
      </w:r>
      <w:r w:rsidRPr="00DC21F5">
        <w:rPr>
          <w:rFonts w:ascii="Helvetica" w:eastAsia="Times New Roman" w:hAnsi="Helvetica" w:cs="Arial"/>
          <w:noProof/>
          <w:color w:val="222222"/>
          <w:sz w:val="21"/>
          <w:szCs w:val="21"/>
        </w:rPr>
        <w:drawing>
          <wp:inline distT="0" distB="0" distL="0" distR="0" wp14:anchorId="166E4365" wp14:editId="0874BE9F">
            <wp:extent cx="5359400" cy="822960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9400" cy="8229600"/>
                    </a:xfrm>
                    <a:prstGeom prst="rect">
                      <a:avLst/>
                    </a:prstGeom>
                    <a:noFill/>
                    <a:ln>
                      <a:noFill/>
                    </a:ln>
                  </pic:spPr>
                </pic:pic>
              </a:graphicData>
            </a:graphic>
          </wp:inline>
        </w:drawing>
      </w:r>
      <w:r w:rsidRPr="00DC21F5">
        <w:rPr>
          <w:rFonts w:ascii="Helvetica" w:eastAsia="Times New Roman" w:hAnsi="Helvetica" w:cs="Arial"/>
          <w:color w:val="222222"/>
          <w:sz w:val="21"/>
          <w:szCs w:val="21"/>
        </w:rPr>
        <w:fldChar w:fldCharType="end"/>
      </w:r>
      <w:r w:rsidRPr="00DC21F5">
        <w:rPr>
          <w:rFonts w:ascii="Helvetica" w:eastAsia="Times New Roman" w:hAnsi="Helvetica" w:cs="Arial"/>
          <w:color w:val="222222"/>
          <w:sz w:val="21"/>
          <w:szCs w:val="21"/>
        </w:rPr>
        <w:br/>
      </w:r>
      <w:r w:rsidRPr="00DC21F5">
        <w:rPr>
          <w:rFonts w:ascii="inherit" w:eastAsia="Times New Roman" w:hAnsi="inherit" w:cs="Arial"/>
          <w:color w:val="222222"/>
          <w:sz w:val="17"/>
          <w:szCs w:val="17"/>
          <w:bdr w:val="none" w:sz="0" w:space="0" w:color="auto" w:frame="1"/>
        </w:rPr>
        <w:lastRenderedPageBreak/>
        <w:t>Figure 2: Selection of custom tools used by the actor</w:t>
      </w:r>
    </w:p>
    <w:p w14:paraId="5841292C"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 xml:space="preserve">The actor's custom tools frequently mirrored the functionality of commodity tools and appear to be developed with a focus on anti-virus evasion. The group often leveraged custom tools when they appeared to be struggling with anti-virus detection or were at a critical phase in the intrusion (e.g., they switched to custom backdoors in IT and OT DMZ right before gaining access to the engineering workstation). In some instances, the actor leveraged custom and commodity tools for the same function. For example, they used </w:t>
      </w:r>
      <w:proofErr w:type="spellStart"/>
      <w:r w:rsidRPr="00DC21F5">
        <w:rPr>
          <w:rFonts w:ascii="Helvetica" w:eastAsia="Times New Roman" w:hAnsi="Helvetica" w:cs="Arial"/>
          <w:color w:val="222222"/>
          <w:sz w:val="21"/>
          <w:szCs w:val="21"/>
        </w:rPr>
        <w:t>Mimikatz</w:t>
      </w:r>
      <w:proofErr w:type="spellEnd"/>
      <w:r w:rsidRPr="00DC21F5">
        <w:rPr>
          <w:rFonts w:ascii="Helvetica" w:eastAsia="Times New Roman" w:hAnsi="Helvetica" w:cs="Arial"/>
          <w:color w:val="222222"/>
          <w:sz w:val="21"/>
          <w:szCs w:val="21"/>
        </w:rPr>
        <w:t xml:space="preserve"> (public) and </w:t>
      </w:r>
      <w:proofErr w:type="spellStart"/>
      <w:r w:rsidRPr="00DC21F5">
        <w:rPr>
          <w:rFonts w:ascii="Helvetica" w:eastAsia="Times New Roman" w:hAnsi="Helvetica" w:cs="Arial"/>
          <w:color w:val="222222"/>
          <w:sz w:val="21"/>
          <w:szCs w:val="21"/>
        </w:rPr>
        <w:t>SecHack</w:t>
      </w:r>
      <w:proofErr w:type="spellEnd"/>
      <w:r w:rsidRPr="00DC21F5">
        <w:rPr>
          <w:rFonts w:ascii="Helvetica" w:eastAsia="Times New Roman" w:hAnsi="Helvetica" w:cs="Arial"/>
          <w:color w:val="222222"/>
          <w:sz w:val="21"/>
          <w:szCs w:val="21"/>
        </w:rPr>
        <w:t xml:space="preserve"> (custom) for credential harvesting; both tools provide a very similar output (Figure 2).</w:t>
      </w:r>
    </w:p>
    <w:p w14:paraId="56D56EE0" w14:textId="575C4B15"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fldChar w:fldCharType="begin"/>
      </w:r>
      <w:r w:rsidRPr="00DC21F5">
        <w:rPr>
          <w:rFonts w:ascii="Helvetica" w:eastAsia="Times New Roman" w:hAnsi="Helvetica" w:cs="Arial"/>
          <w:color w:val="222222"/>
          <w:sz w:val="21"/>
          <w:szCs w:val="21"/>
        </w:rPr>
        <w:instrText xml:space="preserve"> INCLUDEPICTURE "https://www.fireeye.com/content/dam/fireeye-www/blog/images/TRITON/Picture3.png" \* MERGEFORMATINET </w:instrText>
      </w:r>
      <w:r w:rsidRPr="00DC21F5">
        <w:rPr>
          <w:rFonts w:ascii="Helvetica" w:eastAsia="Times New Roman" w:hAnsi="Helvetica" w:cs="Arial"/>
          <w:color w:val="222222"/>
          <w:sz w:val="21"/>
          <w:szCs w:val="21"/>
        </w:rPr>
        <w:fldChar w:fldCharType="separate"/>
      </w:r>
      <w:r w:rsidRPr="00DC21F5">
        <w:rPr>
          <w:rFonts w:ascii="Helvetica" w:eastAsia="Times New Roman" w:hAnsi="Helvetica" w:cs="Arial"/>
          <w:noProof/>
          <w:color w:val="222222"/>
          <w:sz w:val="21"/>
          <w:szCs w:val="21"/>
        </w:rPr>
        <w:drawing>
          <wp:inline distT="0" distB="0" distL="0" distR="0" wp14:anchorId="1F1C2F0B" wp14:editId="31B712E3">
            <wp:extent cx="5943600" cy="36620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62045"/>
                    </a:xfrm>
                    <a:prstGeom prst="rect">
                      <a:avLst/>
                    </a:prstGeom>
                    <a:noFill/>
                    <a:ln>
                      <a:noFill/>
                    </a:ln>
                  </pic:spPr>
                </pic:pic>
              </a:graphicData>
            </a:graphic>
          </wp:inline>
        </w:drawing>
      </w:r>
      <w:r w:rsidRPr="00DC21F5">
        <w:rPr>
          <w:rFonts w:ascii="Helvetica" w:eastAsia="Times New Roman" w:hAnsi="Helvetica" w:cs="Arial"/>
          <w:color w:val="222222"/>
          <w:sz w:val="21"/>
          <w:szCs w:val="21"/>
        </w:rPr>
        <w:fldChar w:fldCharType="end"/>
      </w:r>
      <w:r w:rsidRPr="00DC21F5">
        <w:rPr>
          <w:rFonts w:ascii="Helvetica" w:eastAsia="Times New Roman" w:hAnsi="Helvetica" w:cs="Arial"/>
          <w:color w:val="222222"/>
          <w:sz w:val="21"/>
          <w:szCs w:val="21"/>
        </w:rPr>
        <w:br/>
      </w:r>
      <w:r w:rsidRPr="00DC21F5">
        <w:rPr>
          <w:rFonts w:ascii="inherit" w:eastAsia="Times New Roman" w:hAnsi="inherit" w:cs="Arial"/>
          <w:color w:val="222222"/>
          <w:sz w:val="17"/>
          <w:szCs w:val="17"/>
          <w:bdr w:val="none" w:sz="0" w:space="0" w:color="auto" w:frame="1"/>
        </w:rPr>
        <w:t xml:space="preserve">Figure 3: Default outputs for </w:t>
      </w:r>
      <w:proofErr w:type="spellStart"/>
      <w:r w:rsidRPr="00DC21F5">
        <w:rPr>
          <w:rFonts w:ascii="inherit" w:eastAsia="Times New Roman" w:hAnsi="inherit" w:cs="Arial"/>
          <w:color w:val="222222"/>
          <w:sz w:val="17"/>
          <w:szCs w:val="17"/>
          <w:bdr w:val="none" w:sz="0" w:space="0" w:color="auto" w:frame="1"/>
        </w:rPr>
        <w:t>Mimikatz</w:t>
      </w:r>
      <w:proofErr w:type="spellEnd"/>
      <w:r w:rsidRPr="00DC21F5">
        <w:rPr>
          <w:rFonts w:ascii="inherit" w:eastAsia="Times New Roman" w:hAnsi="inherit" w:cs="Arial"/>
          <w:color w:val="222222"/>
          <w:sz w:val="17"/>
          <w:szCs w:val="17"/>
          <w:bdr w:val="none" w:sz="0" w:space="0" w:color="auto" w:frame="1"/>
        </w:rPr>
        <w:t xml:space="preserve"> (left) and </w:t>
      </w:r>
      <w:proofErr w:type="spellStart"/>
      <w:r w:rsidRPr="00DC21F5">
        <w:rPr>
          <w:rFonts w:ascii="inherit" w:eastAsia="Times New Roman" w:hAnsi="inherit" w:cs="Arial"/>
          <w:color w:val="222222"/>
          <w:sz w:val="17"/>
          <w:szCs w:val="17"/>
          <w:bdr w:val="none" w:sz="0" w:space="0" w:color="auto" w:frame="1"/>
        </w:rPr>
        <w:t>SecHack</w:t>
      </w:r>
      <w:proofErr w:type="spellEnd"/>
      <w:r w:rsidRPr="00DC21F5">
        <w:rPr>
          <w:rFonts w:ascii="inherit" w:eastAsia="Times New Roman" w:hAnsi="inherit" w:cs="Arial"/>
          <w:color w:val="222222"/>
          <w:sz w:val="17"/>
          <w:szCs w:val="17"/>
          <w:bdr w:val="none" w:sz="0" w:space="0" w:color="auto" w:frame="1"/>
        </w:rPr>
        <w:t xml:space="preserve"> (right)</w:t>
      </w:r>
    </w:p>
    <w:p w14:paraId="550B64CF" w14:textId="77777777" w:rsidR="00DC21F5" w:rsidRPr="00DC21F5" w:rsidRDefault="00DC21F5" w:rsidP="00DC21F5">
      <w:pPr>
        <w:shd w:val="clear" w:color="auto" w:fill="FFFFFF"/>
        <w:spacing w:after="195"/>
        <w:textAlignment w:val="baseline"/>
        <w:outlineLvl w:val="3"/>
        <w:rPr>
          <w:rFonts w:ascii="Helvetica" w:eastAsia="Times New Roman" w:hAnsi="Helvetica" w:cs="Arial"/>
          <w:color w:val="44474D"/>
          <w:sz w:val="30"/>
          <w:szCs w:val="30"/>
        </w:rPr>
      </w:pPr>
      <w:r w:rsidRPr="00DC21F5">
        <w:rPr>
          <w:rFonts w:ascii="Helvetica" w:eastAsia="Times New Roman" w:hAnsi="Helvetica" w:cs="Arial"/>
          <w:color w:val="44474D"/>
          <w:sz w:val="30"/>
          <w:szCs w:val="30"/>
        </w:rPr>
        <w:t>Tools and TTPs Indicate a Deep Interest in Ensuring Prolonged and Persistent Access to the Target Environment</w:t>
      </w:r>
    </w:p>
    <w:p w14:paraId="31274672"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 xml:space="preserve">The targeted attack lifecycle of a sophisticated ICS attack is often measured in years. Attackers require a long time to prepare for such an attack </w:t>
      </w:r>
      <w:proofErr w:type="gramStart"/>
      <w:r w:rsidRPr="00DC21F5">
        <w:rPr>
          <w:rFonts w:ascii="Helvetica" w:eastAsia="Times New Roman" w:hAnsi="Helvetica" w:cs="Arial"/>
          <w:color w:val="222222"/>
          <w:sz w:val="21"/>
          <w:szCs w:val="21"/>
        </w:rPr>
        <w:t>in order to</w:t>
      </w:r>
      <w:proofErr w:type="gramEnd"/>
      <w:r w:rsidRPr="00DC21F5">
        <w:rPr>
          <w:rFonts w:ascii="Helvetica" w:eastAsia="Times New Roman" w:hAnsi="Helvetica" w:cs="Arial"/>
          <w:color w:val="222222"/>
          <w:sz w:val="21"/>
          <w:szCs w:val="21"/>
        </w:rPr>
        <w:t xml:space="preserve"> learn about the target’s industrial processes and build custom tools. These attacks are also often carried out by nation states that may be interested in preparing for contingency operations rather than conducting an immediate attack (e.g., installing malware like TRITON and waiting for the right time to use it). During this time, the attacker must ensure continued access to the target environment or risk losing years of effort and potentially expensive custom ICS malware. This attack was no exception. The actor was present in the target networks for almost a year before gaining access to the Safety Instrumented System (SIS) engineering workstation. Throughout that period, they appeared to prioritize operational security.</w:t>
      </w:r>
    </w:p>
    <w:p w14:paraId="4AC656CF"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After establishing an initial foothold on the corporate network, the TRITON actor focused most of their effort on gaining access to the OT network. They did not exhibit activities commonly associated with espionage, such as using key loggers and screenshot grabbers, browsing files, and/or exfiltrating large amounts of information. Most of the attack tools they used were focused on network reconnaissance, lateral movement, and maintaining presence in the target environment.</w:t>
      </w:r>
    </w:p>
    <w:p w14:paraId="35FD2368"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lastRenderedPageBreak/>
        <w:t>The actor used multiple techniques to hide their activities, cover their tracks, and deter forensic examination of their tools and activities.</w:t>
      </w:r>
    </w:p>
    <w:p w14:paraId="4B442F50" w14:textId="77777777" w:rsidR="00DC21F5" w:rsidRPr="00DC21F5" w:rsidRDefault="00DC21F5" w:rsidP="00DC21F5">
      <w:pPr>
        <w:numPr>
          <w:ilvl w:val="0"/>
          <w:numId w:val="2"/>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They renamed their files to make them look like legitimate files, for example, KB77846376.exe, named after Microsoft update files.</w:t>
      </w:r>
    </w:p>
    <w:p w14:paraId="11D7E46F" w14:textId="77777777" w:rsidR="00DC21F5" w:rsidRPr="00DC21F5" w:rsidRDefault="00DC21F5" w:rsidP="00DC21F5">
      <w:pPr>
        <w:numPr>
          <w:ilvl w:val="0"/>
          <w:numId w:val="2"/>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 xml:space="preserve">They routinely used standard tools that would mimic legitimate administrator activities. This included heavy use of RDP and </w:t>
      </w:r>
      <w:proofErr w:type="spellStart"/>
      <w:r w:rsidRPr="00DC21F5">
        <w:rPr>
          <w:rFonts w:ascii="inherit" w:eastAsia="Times New Roman" w:hAnsi="inherit" w:cs="Arial"/>
          <w:color w:val="222222"/>
          <w:sz w:val="21"/>
          <w:szCs w:val="21"/>
        </w:rPr>
        <w:t>PsExec</w:t>
      </w:r>
      <w:proofErr w:type="spellEnd"/>
      <w:r w:rsidRPr="00DC21F5">
        <w:rPr>
          <w:rFonts w:ascii="inherit" w:eastAsia="Times New Roman" w:hAnsi="inherit" w:cs="Arial"/>
          <w:color w:val="222222"/>
          <w:sz w:val="21"/>
          <w:szCs w:val="21"/>
        </w:rPr>
        <w:t>/</w:t>
      </w:r>
      <w:proofErr w:type="spellStart"/>
      <w:r w:rsidRPr="00DC21F5">
        <w:rPr>
          <w:rFonts w:ascii="inherit" w:eastAsia="Times New Roman" w:hAnsi="inherit" w:cs="Arial"/>
          <w:color w:val="222222"/>
          <w:sz w:val="21"/>
          <w:szCs w:val="21"/>
        </w:rPr>
        <w:t>WinRM</w:t>
      </w:r>
      <w:proofErr w:type="spellEnd"/>
      <w:r w:rsidRPr="00DC21F5">
        <w:rPr>
          <w:rFonts w:ascii="inherit" w:eastAsia="Times New Roman" w:hAnsi="inherit" w:cs="Arial"/>
          <w:color w:val="222222"/>
          <w:sz w:val="21"/>
          <w:szCs w:val="21"/>
        </w:rPr>
        <w:t>.</w:t>
      </w:r>
    </w:p>
    <w:p w14:paraId="22633E08" w14:textId="77777777" w:rsidR="00DC21F5" w:rsidRPr="00DC21F5" w:rsidRDefault="00DC21F5" w:rsidP="00DC21F5">
      <w:pPr>
        <w:numPr>
          <w:ilvl w:val="0"/>
          <w:numId w:val="2"/>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 xml:space="preserve">When planting </w:t>
      </w:r>
      <w:proofErr w:type="spellStart"/>
      <w:r w:rsidRPr="00DC21F5">
        <w:rPr>
          <w:rFonts w:ascii="inherit" w:eastAsia="Times New Roman" w:hAnsi="inherit" w:cs="Arial"/>
          <w:color w:val="222222"/>
          <w:sz w:val="21"/>
          <w:szCs w:val="21"/>
        </w:rPr>
        <w:t>webshells</w:t>
      </w:r>
      <w:proofErr w:type="spellEnd"/>
      <w:r w:rsidRPr="00DC21F5">
        <w:rPr>
          <w:rFonts w:ascii="inherit" w:eastAsia="Times New Roman" w:hAnsi="inherit" w:cs="Arial"/>
          <w:color w:val="222222"/>
          <w:sz w:val="21"/>
          <w:szCs w:val="21"/>
        </w:rPr>
        <w:t xml:space="preserve"> on the Outlook Exchange servers, they modified already existing legitimate flogon.js and logoff.aspx files.</w:t>
      </w:r>
    </w:p>
    <w:p w14:paraId="544F8C3A" w14:textId="77777777" w:rsidR="00DC21F5" w:rsidRPr="00DC21F5" w:rsidRDefault="00DC21F5" w:rsidP="00DC21F5">
      <w:pPr>
        <w:numPr>
          <w:ilvl w:val="0"/>
          <w:numId w:val="2"/>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They relied on encrypted SSH-based tunnels to transfer tools and for remote command/program execution.</w:t>
      </w:r>
    </w:p>
    <w:p w14:paraId="0AC36650" w14:textId="77777777" w:rsidR="00DC21F5" w:rsidRPr="00DC21F5" w:rsidRDefault="00DC21F5" w:rsidP="00DC21F5">
      <w:pPr>
        <w:numPr>
          <w:ilvl w:val="0"/>
          <w:numId w:val="2"/>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They used multiple staging folders and opted to use directories that were used infrequently by legitimate users or processes.</w:t>
      </w:r>
    </w:p>
    <w:p w14:paraId="0538CB5B" w14:textId="77777777" w:rsidR="00DC21F5" w:rsidRPr="00DC21F5" w:rsidRDefault="00DC21F5" w:rsidP="00DC21F5">
      <w:pPr>
        <w:numPr>
          <w:ilvl w:val="0"/>
          <w:numId w:val="2"/>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They routinely deleted dropped attack tools, execution logs, files staged for exfiltration, and other files after they were finished with them.</w:t>
      </w:r>
    </w:p>
    <w:p w14:paraId="6EDE0FB0" w14:textId="77777777" w:rsidR="00DC21F5" w:rsidRPr="00DC21F5" w:rsidRDefault="00DC21F5" w:rsidP="00DC21F5">
      <w:pPr>
        <w:numPr>
          <w:ilvl w:val="0"/>
          <w:numId w:val="2"/>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 xml:space="preserve">They renamed their tools' filenames in the staging folder so that it would not be possible to identify the malware's purpose, even after it was deleted from the disk through the residual artifacts (e.g., </w:t>
      </w:r>
      <w:proofErr w:type="spellStart"/>
      <w:r w:rsidRPr="00DC21F5">
        <w:rPr>
          <w:rFonts w:ascii="inherit" w:eastAsia="Times New Roman" w:hAnsi="inherit" w:cs="Arial"/>
          <w:color w:val="222222"/>
          <w:sz w:val="21"/>
          <w:szCs w:val="21"/>
        </w:rPr>
        <w:t>ShimCache</w:t>
      </w:r>
      <w:proofErr w:type="spellEnd"/>
      <w:r w:rsidRPr="00DC21F5">
        <w:rPr>
          <w:rFonts w:ascii="inherit" w:eastAsia="Times New Roman" w:hAnsi="inherit" w:cs="Arial"/>
          <w:color w:val="222222"/>
          <w:sz w:val="21"/>
          <w:szCs w:val="21"/>
        </w:rPr>
        <w:t xml:space="preserve"> entries or WMI Recently Used Apps).</w:t>
      </w:r>
    </w:p>
    <w:p w14:paraId="580CC487" w14:textId="77777777" w:rsidR="00DC21F5" w:rsidRPr="00DC21F5" w:rsidRDefault="00DC21F5" w:rsidP="00DC21F5">
      <w:pPr>
        <w:numPr>
          <w:ilvl w:val="0"/>
          <w:numId w:val="2"/>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 xml:space="preserve">They used </w:t>
      </w:r>
      <w:proofErr w:type="spellStart"/>
      <w:r w:rsidRPr="00DC21F5">
        <w:rPr>
          <w:rFonts w:ascii="inherit" w:eastAsia="Times New Roman" w:hAnsi="inherit" w:cs="Arial"/>
          <w:color w:val="222222"/>
          <w:sz w:val="21"/>
          <w:szCs w:val="21"/>
        </w:rPr>
        <w:t>timestomping</w:t>
      </w:r>
      <w:proofErr w:type="spellEnd"/>
      <w:r w:rsidRPr="00DC21F5">
        <w:rPr>
          <w:rFonts w:ascii="inherit" w:eastAsia="Times New Roman" w:hAnsi="inherit" w:cs="Arial"/>
          <w:color w:val="222222"/>
          <w:sz w:val="21"/>
          <w:szCs w:val="21"/>
        </w:rPr>
        <w:t xml:space="preserve"> to modify the $STANDARD_INFORMATION attribute of the attack tools.</w:t>
      </w:r>
    </w:p>
    <w:p w14:paraId="7CDC56F7"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Once the actor gained access to the targeted SIS controllers, they appeared to focus solely on maintaining access while attempting to successfully deploy TRITON. This involved strategically limiting their activities to mitigate the risk of being discovered.</w:t>
      </w:r>
    </w:p>
    <w:p w14:paraId="2C013F76" w14:textId="77777777" w:rsidR="00DC21F5" w:rsidRPr="00DC21F5" w:rsidRDefault="00DC21F5" w:rsidP="00DC21F5">
      <w:pPr>
        <w:numPr>
          <w:ilvl w:val="0"/>
          <w:numId w:val="3"/>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The actor gained a foothold on the distributed control system (DCS) but did not leverage that access to learn about plant operations, exfiltrate sensitive information, tamper with the DCS controllers, or manipulate the process.</w:t>
      </w:r>
    </w:p>
    <w:p w14:paraId="46EC63EA" w14:textId="77777777" w:rsidR="00DC21F5" w:rsidRPr="00DC21F5" w:rsidRDefault="00DC21F5" w:rsidP="00DC21F5">
      <w:pPr>
        <w:numPr>
          <w:ilvl w:val="0"/>
          <w:numId w:val="3"/>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They then gained access to an SIS engineering workstation. From this point forward, they focused most of their effort on delivering and refining a backdoor payload using the TRITON attack framework.</w:t>
      </w:r>
    </w:p>
    <w:p w14:paraId="75C1DDDF" w14:textId="77777777" w:rsidR="00DC21F5" w:rsidRPr="00DC21F5" w:rsidRDefault="00DC21F5" w:rsidP="00DC21F5">
      <w:pPr>
        <w:numPr>
          <w:ilvl w:val="0"/>
          <w:numId w:val="3"/>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They attempted to reduce the chance of being observed during higher-risk activities by interacting with target controllers during off-hour times. This would ensure fewer workers were on site to react to potential alarms caused by controller manipulation.</w:t>
      </w:r>
    </w:p>
    <w:p w14:paraId="2969BA5C" w14:textId="77777777" w:rsidR="00DC21F5" w:rsidRPr="00DC21F5" w:rsidRDefault="00DC21F5" w:rsidP="00DC21F5">
      <w:pPr>
        <w:numPr>
          <w:ilvl w:val="0"/>
          <w:numId w:val="3"/>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They renamed their files to make them look like legitimate files, for example, trilog.exe, named after a legitimate Schneider Electric application.</w:t>
      </w:r>
    </w:p>
    <w:p w14:paraId="581F291F" w14:textId="77777777" w:rsidR="00DC21F5" w:rsidRPr="00DC21F5" w:rsidRDefault="00DC21F5" w:rsidP="00DC21F5">
      <w:pPr>
        <w:shd w:val="clear" w:color="auto" w:fill="FFFFFF"/>
        <w:spacing w:after="195"/>
        <w:textAlignment w:val="baseline"/>
        <w:outlineLvl w:val="3"/>
        <w:rPr>
          <w:rFonts w:ascii="Helvetica" w:eastAsia="Times New Roman" w:hAnsi="Helvetica" w:cs="Arial"/>
          <w:color w:val="44474D"/>
          <w:sz w:val="30"/>
          <w:szCs w:val="30"/>
        </w:rPr>
      </w:pPr>
      <w:r w:rsidRPr="00DC21F5">
        <w:rPr>
          <w:rFonts w:ascii="Helvetica" w:eastAsia="Times New Roman" w:hAnsi="Helvetica" w:cs="Arial"/>
          <w:color w:val="44474D"/>
          <w:sz w:val="30"/>
          <w:szCs w:val="30"/>
        </w:rPr>
        <w:t>Operational Since At Least 2014</w:t>
      </w:r>
    </w:p>
    <w:p w14:paraId="3E7971F7"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 xml:space="preserve">Based on analysis of the actor’s custom intrusion tools, the group has been operating since as early as 2014. It is worth noting that FireEye had </w:t>
      </w:r>
      <w:proofErr w:type="gramStart"/>
      <w:r w:rsidRPr="00DC21F5">
        <w:rPr>
          <w:rFonts w:ascii="Helvetica" w:eastAsia="Times New Roman" w:hAnsi="Helvetica" w:cs="Arial"/>
          <w:color w:val="222222"/>
          <w:sz w:val="21"/>
          <w:szCs w:val="21"/>
        </w:rPr>
        <w:t>never before</w:t>
      </w:r>
      <w:proofErr w:type="gramEnd"/>
      <w:r w:rsidRPr="00DC21F5">
        <w:rPr>
          <w:rFonts w:ascii="Helvetica" w:eastAsia="Times New Roman" w:hAnsi="Helvetica" w:cs="Arial"/>
          <w:color w:val="222222"/>
          <w:sz w:val="21"/>
          <w:szCs w:val="21"/>
        </w:rPr>
        <w:t xml:space="preserve"> encountered any of the actor's custom tools, despite the fact that many of them date to several years before the initial compromise. This fact and the actor's demonstrated interest in operational security suggests there may be other target environments – beyond the second intrusion announced in this blog post – where the actor was or still is present.</w:t>
      </w:r>
    </w:p>
    <w:p w14:paraId="5415D331" w14:textId="77777777" w:rsidR="00DC21F5" w:rsidRPr="00DC21F5" w:rsidRDefault="00DC21F5" w:rsidP="00DC21F5">
      <w:pPr>
        <w:numPr>
          <w:ilvl w:val="0"/>
          <w:numId w:val="4"/>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 xml:space="preserve">A sample of a </w:t>
      </w:r>
      <w:proofErr w:type="spellStart"/>
      <w:r w:rsidRPr="00DC21F5">
        <w:rPr>
          <w:rFonts w:ascii="inherit" w:eastAsia="Times New Roman" w:hAnsi="inherit" w:cs="Arial"/>
          <w:color w:val="222222"/>
          <w:sz w:val="21"/>
          <w:szCs w:val="21"/>
        </w:rPr>
        <w:t>Cryptcat</w:t>
      </w:r>
      <w:proofErr w:type="spellEnd"/>
      <w:r w:rsidRPr="00DC21F5">
        <w:rPr>
          <w:rFonts w:ascii="inherit" w:eastAsia="Times New Roman" w:hAnsi="inherit" w:cs="Arial"/>
          <w:color w:val="222222"/>
          <w:sz w:val="21"/>
          <w:szCs w:val="21"/>
        </w:rPr>
        <w:t>-based backdoor used to establish the initial foothold was recovered during the investigation; the sample was compiled and uploaded to a malware testing environment by the actor in 2014.</w:t>
      </w:r>
    </w:p>
    <w:p w14:paraId="6453DD0F" w14:textId="77777777" w:rsidR="00DC21F5" w:rsidRPr="00DC21F5" w:rsidRDefault="00DC21F5" w:rsidP="00DC21F5">
      <w:pPr>
        <w:numPr>
          <w:ilvl w:val="0"/>
          <w:numId w:val="4"/>
        </w:numPr>
        <w:shd w:val="clear" w:color="auto" w:fill="FFFFFF"/>
        <w:ind w:left="1095"/>
        <w:textAlignment w:val="baseline"/>
        <w:rPr>
          <w:rFonts w:ascii="inherit" w:eastAsia="Times New Roman" w:hAnsi="inherit" w:cs="Arial"/>
          <w:color w:val="222222"/>
          <w:sz w:val="21"/>
          <w:szCs w:val="21"/>
        </w:rPr>
      </w:pPr>
      <w:proofErr w:type="spellStart"/>
      <w:r w:rsidRPr="00DC21F5">
        <w:rPr>
          <w:rFonts w:ascii="inherit" w:eastAsia="Times New Roman" w:hAnsi="inherit" w:cs="Arial"/>
          <w:color w:val="222222"/>
          <w:sz w:val="21"/>
          <w:szCs w:val="21"/>
        </w:rPr>
        <w:t>Cryptcat</w:t>
      </w:r>
      <w:proofErr w:type="spellEnd"/>
      <w:r w:rsidRPr="00DC21F5">
        <w:rPr>
          <w:rFonts w:ascii="inherit" w:eastAsia="Times New Roman" w:hAnsi="inherit" w:cs="Arial"/>
          <w:color w:val="222222"/>
          <w:sz w:val="21"/>
          <w:szCs w:val="21"/>
        </w:rPr>
        <w:t xml:space="preserve">- and PLINK-based backdoors were scheduled to execute daily starting from April 28, 2014, using </w:t>
      </w:r>
      <w:proofErr w:type="spellStart"/>
      <w:r w:rsidRPr="00DC21F5">
        <w:rPr>
          <w:rFonts w:ascii="inherit" w:eastAsia="Times New Roman" w:hAnsi="inherit" w:cs="Arial"/>
          <w:color w:val="222222"/>
          <w:sz w:val="21"/>
          <w:szCs w:val="21"/>
        </w:rPr>
        <w:t>ProgramDataUpdater</w:t>
      </w:r>
      <w:proofErr w:type="spellEnd"/>
      <w:r w:rsidRPr="00DC21F5">
        <w:rPr>
          <w:rFonts w:ascii="inherit" w:eastAsia="Times New Roman" w:hAnsi="inherit" w:cs="Arial"/>
          <w:color w:val="222222"/>
          <w:sz w:val="21"/>
          <w:szCs w:val="21"/>
        </w:rPr>
        <w:t xml:space="preserve"> and </w:t>
      </w:r>
      <w:proofErr w:type="spellStart"/>
      <w:r w:rsidRPr="00DC21F5">
        <w:rPr>
          <w:rFonts w:ascii="inherit" w:eastAsia="Times New Roman" w:hAnsi="inherit" w:cs="Arial"/>
          <w:color w:val="222222"/>
          <w:sz w:val="21"/>
          <w:szCs w:val="21"/>
        </w:rPr>
        <w:t>NetworkAccessProtectionUpdateDB</w:t>
      </w:r>
      <w:proofErr w:type="spellEnd"/>
      <w:r w:rsidRPr="00DC21F5">
        <w:rPr>
          <w:rFonts w:ascii="inherit" w:eastAsia="Times New Roman" w:hAnsi="inherit" w:cs="Arial"/>
          <w:color w:val="222222"/>
          <w:sz w:val="21"/>
          <w:szCs w:val="21"/>
        </w:rPr>
        <w:t xml:space="preserve"> tasks. This date is unrelated to the observed intrusion timeline and may indicate the date the threat actors first created these persistence mechanisms.</w:t>
      </w:r>
    </w:p>
    <w:p w14:paraId="005475A0" w14:textId="77777777" w:rsidR="00DC21F5" w:rsidRPr="00DC21F5" w:rsidRDefault="00DC21F5" w:rsidP="00DC21F5">
      <w:pPr>
        <w:numPr>
          <w:ilvl w:val="0"/>
          <w:numId w:val="4"/>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lastRenderedPageBreak/>
        <w:t>NetExec.exe, a custom lateral movement and remote command execution tool, is self-titled "</w:t>
      </w:r>
      <w:proofErr w:type="spellStart"/>
      <w:r w:rsidRPr="00DC21F5">
        <w:rPr>
          <w:rFonts w:ascii="inherit" w:eastAsia="Times New Roman" w:hAnsi="inherit" w:cs="Arial"/>
          <w:color w:val="222222"/>
          <w:sz w:val="21"/>
          <w:szCs w:val="21"/>
        </w:rPr>
        <w:t>NetExec</w:t>
      </w:r>
      <w:proofErr w:type="spellEnd"/>
      <w:r w:rsidRPr="00DC21F5">
        <w:rPr>
          <w:rFonts w:ascii="inherit" w:eastAsia="Times New Roman" w:hAnsi="inherit" w:cs="Arial"/>
          <w:color w:val="222222"/>
          <w:sz w:val="21"/>
          <w:szCs w:val="21"/>
        </w:rPr>
        <w:t xml:space="preserve"> 2014 by OSA."</w:t>
      </w:r>
    </w:p>
    <w:p w14:paraId="43312130" w14:textId="77777777" w:rsidR="00DC21F5" w:rsidRPr="00DC21F5" w:rsidRDefault="00DC21F5" w:rsidP="00DC21F5">
      <w:pPr>
        <w:numPr>
          <w:ilvl w:val="0"/>
          <w:numId w:val="4"/>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SecHack.exe "by OSA," a custom credential harvesting and reconnaissance tool, was compiled on Oct. 23, 2014.</w:t>
      </w:r>
    </w:p>
    <w:p w14:paraId="4ED312C4" w14:textId="77777777" w:rsidR="00DC21F5" w:rsidRPr="00DC21F5" w:rsidRDefault="00DC21F5" w:rsidP="00DC21F5">
      <w:pPr>
        <w:numPr>
          <w:ilvl w:val="0"/>
          <w:numId w:val="4"/>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The attackers used a pirated version of Wii.exe, a public file indexing tool that came with a license from 2010 and has not been updated since 2014.</w:t>
      </w:r>
    </w:p>
    <w:p w14:paraId="1283D9C0" w14:textId="77777777" w:rsidR="00DC21F5" w:rsidRPr="00DC21F5" w:rsidRDefault="00DC21F5" w:rsidP="00DC21F5">
      <w:pPr>
        <w:shd w:val="clear" w:color="auto" w:fill="FFFFFF"/>
        <w:spacing w:after="195"/>
        <w:textAlignment w:val="baseline"/>
        <w:outlineLvl w:val="3"/>
        <w:rPr>
          <w:rFonts w:ascii="Helvetica" w:eastAsia="Times New Roman" w:hAnsi="Helvetica" w:cs="Arial"/>
          <w:color w:val="44474D"/>
          <w:sz w:val="30"/>
          <w:szCs w:val="30"/>
        </w:rPr>
      </w:pPr>
      <w:r w:rsidRPr="00DC21F5">
        <w:rPr>
          <w:rFonts w:ascii="Helvetica" w:eastAsia="Times New Roman" w:hAnsi="Helvetica" w:cs="Arial"/>
          <w:color w:val="44474D"/>
          <w:sz w:val="30"/>
          <w:szCs w:val="30"/>
        </w:rPr>
        <w:t>ICS Asset Owners Should Prioritize Detection and Defense Across Windows Systems in Both IT and OT</w:t>
      </w:r>
    </w:p>
    <w:p w14:paraId="6745477B"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 xml:space="preserve">Most sophisticated ICS attacks leveraged Windows, Linux, and other traditionally "IT" systems (located in either IT or OT networks) as a conduit to the ultimate target. Some examples include leveraging computers to gain access to targeted PLCs (e.g., Stuxnet), interacting directly with internet-connected human machine interfaces (HMIs) (e.g., </w:t>
      </w:r>
      <w:proofErr w:type="spellStart"/>
      <w:r w:rsidRPr="00DC21F5">
        <w:rPr>
          <w:rFonts w:ascii="Helvetica" w:eastAsia="Times New Roman" w:hAnsi="Helvetica" w:cs="Arial"/>
          <w:color w:val="222222"/>
          <w:sz w:val="21"/>
          <w:szCs w:val="21"/>
        </w:rPr>
        <w:t>BlackEnergy</w:t>
      </w:r>
      <w:proofErr w:type="spellEnd"/>
      <w:r w:rsidRPr="00DC21F5">
        <w:rPr>
          <w:rFonts w:ascii="Helvetica" w:eastAsia="Times New Roman" w:hAnsi="Helvetica" w:cs="Arial"/>
          <w:color w:val="222222"/>
          <w:sz w:val="21"/>
          <w:szCs w:val="21"/>
        </w:rPr>
        <w:t>), and gaining remote access to an engineering station to manipulate a remote terminal unit (RTU) (e.g., INDUSTROYER) or infect SIS programmable logic controllers (PLC) (e.g., TRITON).</w:t>
      </w:r>
    </w:p>
    <w:p w14:paraId="67D42461"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 xml:space="preserve">Defenders who focus on stopping an attacker in these "conduit" systems benefit from </w:t>
      </w:r>
      <w:proofErr w:type="gramStart"/>
      <w:r w:rsidRPr="00DC21F5">
        <w:rPr>
          <w:rFonts w:ascii="Helvetica" w:eastAsia="Times New Roman" w:hAnsi="Helvetica" w:cs="Arial"/>
          <w:color w:val="222222"/>
          <w:sz w:val="21"/>
          <w:szCs w:val="21"/>
        </w:rPr>
        <w:t>a number of</w:t>
      </w:r>
      <w:proofErr w:type="gramEnd"/>
      <w:r w:rsidRPr="00DC21F5">
        <w:rPr>
          <w:rFonts w:ascii="Helvetica" w:eastAsia="Times New Roman" w:hAnsi="Helvetica" w:cs="Arial"/>
          <w:color w:val="222222"/>
          <w:sz w:val="21"/>
          <w:szCs w:val="21"/>
        </w:rPr>
        <w:t xml:space="preserve"> key advantages. These advantages will only grow as IT and OT systems continue to converge.</w:t>
      </w:r>
    </w:p>
    <w:p w14:paraId="50849041" w14:textId="77777777" w:rsidR="00DC21F5" w:rsidRPr="00DC21F5" w:rsidRDefault="00DC21F5" w:rsidP="00DC21F5">
      <w:pPr>
        <w:numPr>
          <w:ilvl w:val="0"/>
          <w:numId w:val="5"/>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 xml:space="preserve">Attackers commonly leave a broad footprint in IT systems across most if not all the attack </w:t>
      </w:r>
      <w:proofErr w:type="gramStart"/>
      <w:r w:rsidRPr="00DC21F5">
        <w:rPr>
          <w:rFonts w:ascii="inherit" w:eastAsia="Times New Roman" w:hAnsi="inherit" w:cs="Arial"/>
          <w:color w:val="222222"/>
          <w:sz w:val="21"/>
          <w:szCs w:val="21"/>
        </w:rPr>
        <w:t>lifecycle</w:t>
      </w:r>
      <w:proofErr w:type="gramEnd"/>
      <w:r w:rsidRPr="00DC21F5">
        <w:rPr>
          <w:rFonts w:ascii="inherit" w:eastAsia="Times New Roman" w:hAnsi="inherit" w:cs="Arial"/>
          <w:color w:val="222222"/>
          <w:sz w:val="21"/>
          <w:szCs w:val="21"/>
        </w:rPr>
        <w:t>.</w:t>
      </w:r>
    </w:p>
    <w:p w14:paraId="089EE07D" w14:textId="77777777" w:rsidR="00DC21F5" w:rsidRPr="00DC21F5" w:rsidRDefault="00DC21F5" w:rsidP="00DC21F5">
      <w:pPr>
        <w:numPr>
          <w:ilvl w:val="0"/>
          <w:numId w:val="5"/>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It is ideal to stop an attacker as early in the attack lifecycle as possible (aka "left of boom"). Once an attacker reaches the targeted ICS, the potential of a negative outcome and its severity for the target increase dramatically.</w:t>
      </w:r>
    </w:p>
    <w:p w14:paraId="5216CAD7" w14:textId="77777777" w:rsidR="00DC21F5" w:rsidRPr="00DC21F5" w:rsidRDefault="00DC21F5" w:rsidP="00DC21F5">
      <w:pPr>
        <w:numPr>
          <w:ilvl w:val="0"/>
          <w:numId w:val="5"/>
        </w:numPr>
        <w:shd w:val="clear" w:color="auto" w:fill="FFFFFF"/>
        <w:ind w:left="1095"/>
        <w:textAlignment w:val="baseline"/>
        <w:rPr>
          <w:rFonts w:ascii="inherit" w:eastAsia="Times New Roman" w:hAnsi="inherit" w:cs="Arial"/>
          <w:color w:val="222222"/>
          <w:sz w:val="21"/>
          <w:szCs w:val="21"/>
        </w:rPr>
      </w:pPr>
      <w:r w:rsidRPr="00DC21F5">
        <w:rPr>
          <w:rFonts w:ascii="inherit" w:eastAsia="Times New Roman" w:hAnsi="inherit" w:cs="Arial"/>
          <w:color w:val="222222"/>
          <w:sz w:val="21"/>
          <w:szCs w:val="21"/>
        </w:rPr>
        <w:t>There are many mature security tools, services, and other capabilities already available that can be leveraged to defend and hunt in "conduit" systems.</w:t>
      </w:r>
    </w:p>
    <w:p w14:paraId="4F70731F" w14:textId="77777777" w:rsidR="00DC21F5" w:rsidRPr="00DC21F5" w:rsidRDefault="00DC21F5" w:rsidP="00DC21F5">
      <w:pPr>
        <w:shd w:val="clear" w:color="auto" w:fill="FFFFFF"/>
        <w:spacing w:after="195"/>
        <w:textAlignment w:val="baseline"/>
        <w:outlineLvl w:val="3"/>
        <w:rPr>
          <w:rFonts w:ascii="Helvetica" w:eastAsia="Times New Roman" w:hAnsi="Helvetica" w:cs="Arial"/>
          <w:color w:val="44474D"/>
          <w:sz w:val="30"/>
          <w:szCs w:val="30"/>
        </w:rPr>
      </w:pPr>
      <w:r w:rsidRPr="00DC21F5">
        <w:rPr>
          <w:rFonts w:ascii="Helvetica" w:eastAsia="Times New Roman" w:hAnsi="Helvetica" w:cs="Arial"/>
          <w:color w:val="44474D"/>
          <w:sz w:val="30"/>
          <w:szCs w:val="30"/>
        </w:rPr>
        <w:t xml:space="preserve">Leveraging Known Tools and TTPs To Hunt </w:t>
      </w:r>
      <w:proofErr w:type="gramStart"/>
      <w:r w:rsidRPr="00DC21F5">
        <w:rPr>
          <w:rFonts w:ascii="Helvetica" w:eastAsia="Times New Roman" w:hAnsi="Helvetica" w:cs="Arial"/>
          <w:color w:val="44474D"/>
          <w:sz w:val="30"/>
          <w:szCs w:val="30"/>
        </w:rPr>
        <w:t>For</w:t>
      </w:r>
      <w:proofErr w:type="gramEnd"/>
      <w:r w:rsidRPr="00DC21F5">
        <w:rPr>
          <w:rFonts w:ascii="Helvetica" w:eastAsia="Times New Roman" w:hAnsi="Helvetica" w:cs="Arial"/>
          <w:color w:val="44474D"/>
          <w:sz w:val="30"/>
          <w:szCs w:val="30"/>
        </w:rPr>
        <w:t xml:space="preserve"> the TRITON Actor</w:t>
      </w:r>
    </w:p>
    <w:p w14:paraId="27FD3E03"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Historic activity associated with this actor demonstrates a strong development capability for custom tooling. The developer(s) behind these toolsets leaned heavily on existing software frameworks and modified them to best serve the intrusion operations. The developer(s) had preferences regarding the ports, protocols, persistence mechanisms, and other aspects of how the malware operated.</w:t>
      </w:r>
    </w:p>
    <w:p w14:paraId="3940B316"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While the preferences of the development team supporting this activity will likely shift and change over time, learning about them is still useful to identify whether their TTPs are applicable to other malware developers and threat actors. Additionally, the actor possibly gained a foothold on other target networks—beyond the two intrusions discussed in this post – using similar strategies. In such cases, retrospective hunting would help defenders identify and remediate malicious activity.</w:t>
      </w:r>
    </w:p>
    <w:p w14:paraId="02231D1A"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Based on the examination of developer(s) preferences and abstracted adversary methodologies, it is possible to build broader visibility of the TTPs using detection and hunting rules of various fidelity and threat density. The compilation of these rules makes it possible to identify and classify potentially malicious samples while building new "haystacks" in which to hunt for adversary activity.</w:t>
      </w:r>
    </w:p>
    <w:p w14:paraId="18201436"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The TTPs we extracted from this actor’s activities are not necessarily exclusive, nor are they necessarily malicious in every circumstance. However, the TTP profile built by FireEye can be used to search for patterns of evil in subsets of network and endpoint activity. Not only can these TTPs be used to find evidence of intrusions, but identification of activity that has strong overlaps with the actor's favored techniques can lead to stronger assessments of actor association, further bolstering incident response efforts.</w:t>
      </w:r>
    </w:p>
    <w:p w14:paraId="21B42414" w14:textId="77777777"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lastRenderedPageBreak/>
        <w:t>The following table provides insights into notable methodologies surrounding the use of custom tools and tips for identifying evidence of this and related activity. Adversary methodologies are also expressed in terms of the MITRE ATT&amp;CK framework (see Appendix C for MITRE ATT&amp;CK JSON raw data).</w:t>
      </w:r>
    </w:p>
    <w:tbl>
      <w:tblPr>
        <w:tblW w:w="9990" w:type="dxa"/>
        <w:tblCellMar>
          <w:left w:w="0" w:type="dxa"/>
          <w:right w:w="0" w:type="dxa"/>
        </w:tblCellMar>
        <w:tblLook w:val="04A0" w:firstRow="1" w:lastRow="0" w:firstColumn="1" w:lastColumn="0" w:noHBand="0" w:noVBand="1"/>
      </w:tblPr>
      <w:tblGrid>
        <w:gridCol w:w="1758"/>
        <w:gridCol w:w="8232"/>
      </w:tblGrid>
      <w:tr w:rsidR="00DC21F5" w:rsidRPr="00DC21F5" w14:paraId="152CFC48"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D8D02F" w14:textId="77777777" w:rsidR="00DC21F5" w:rsidRPr="00DC21F5" w:rsidRDefault="00DC21F5" w:rsidP="00DC21F5">
            <w:pPr>
              <w:textAlignment w:val="baseline"/>
              <w:rPr>
                <w:rFonts w:ascii="Helvetica" w:eastAsia="Times New Roman" w:hAnsi="Helvetica" w:cs="Times New Roman"/>
                <w:color w:val="222222"/>
                <w:sz w:val="21"/>
                <w:szCs w:val="21"/>
              </w:rPr>
            </w:pPr>
            <w:r w:rsidRPr="00DC21F5">
              <w:rPr>
                <w:rFonts w:ascii="inherit" w:eastAsia="Times New Roman" w:hAnsi="inherit" w:cs="Times New Roman"/>
                <w:color w:val="222222"/>
                <w:sz w:val="21"/>
                <w:szCs w:val="21"/>
                <w:u w:val="single"/>
                <w:bdr w:val="none" w:sz="0" w:space="0" w:color="auto" w:frame="1"/>
              </w:rPr>
              <w:t>Adversary Methodology</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B76867" w14:textId="77777777" w:rsidR="00DC21F5" w:rsidRPr="00DC21F5" w:rsidRDefault="00DC21F5" w:rsidP="00DC21F5">
            <w:pPr>
              <w:textAlignment w:val="baseline"/>
              <w:rPr>
                <w:rFonts w:ascii="Helvetica" w:eastAsia="Times New Roman" w:hAnsi="Helvetica" w:cs="Times New Roman"/>
                <w:color w:val="222222"/>
                <w:sz w:val="21"/>
                <w:szCs w:val="21"/>
              </w:rPr>
            </w:pPr>
            <w:r w:rsidRPr="00DC21F5">
              <w:rPr>
                <w:rFonts w:ascii="inherit" w:eastAsia="Times New Roman" w:hAnsi="inherit" w:cs="Times New Roman"/>
                <w:color w:val="222222"/>
                <w:sz w:val="21"/>
                <w:szCs w:val="21"/>
                <w:u w:val="single"/>
                <w:bdr w:val="none" w:sz="0" w:space="0" w:color="auto" w:frame="1"/>
              </w:rPr>
              <w:t>Discovery Tips</w:t>
            </w:r>
          </w:p>
        </w:tc>
      </w:tr>
      <w:tr w:rsidR="00DC21F5" w:rsidRPr="00DC21F5" w14:paraId="45684422"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D706DB"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Persistence by Scheduled Tasks by XML trigger</w:t>
            </w:r>
          </w:p>
          <w:p w14:paraId="492F024F" w14:textId="77777777" w:rsidR="00DC21F5" w:rsidRPr="00DC21F5" w:rsidRDefault="00DC21F5" w:rsidP="00DC21F5">
            <w:pPr>
              <w:textAlignment w:val="baseline"/>
              <w:rPr>
                <w:rFonts w:ascii="Helvetica" w:eastAsia="Times New Roman" w:hAnsi="Helvetica" w:cs="Times New Roman"/>
                <w:color w:val="222222"/>
                <w:sz w:val="21"/>
                <w:szCs w:val="21"/>
              </w:rPr>
            </w:pPr>
            <w:hyperlink r:id="rId20" w:history="1">
              <w:r w:rsidRPr="00DC21F5">
                <w:rPr>
                  <w:rFonts w:ascii="inherit" w:eastAsia="Times New Roman" w:hAnsi="inherit" w:cs="Times New Roman"/>
                  <w:color w:val="2E5799"/>
                  <w:sz w:val="21"/>
                  <w:szCs w:val="21"/>
                  <w:bdr w:val="none" w:sz="0" w:space="0" w:color="auto" w:frame="1"/>
                </w:rPr>
                <w:t>ATT&amp;CK: T1053</w:t>
              </w:r>
            </w:hyperlink>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786931" w14:textId="77777777" w:rsidR="00DC21F5" w:rsidRPr="00DC21F5" w:rsidRDefault="00DC21F5" w:rsidP="00DC21F5">
            <w:pPr>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new and anomalous </w:t>
            </w:r>
            <w:hyperlink r:id="rId21" w:history="1">
              <w:r w:rsidRPr="00DC21F5">
                <w:rPr>
                  <w:rFonts w:ascii="inherit" w:eastAsia="Times New Roman" w:hAnsi="inherit" w:cs="Times New Roman"/>
                  <w:color w:val="2E5799"/>
                  <w:sz w:val="21"/>
                  <w:szCs w:val="21"/>
                  <w:bdr w:val="none" w:sz="0" w:space="0" w:color="auto" w:frame="1"/>
                </w:rPr>
                <w:t>Scheduled Tasks XML triggers</w:t>
              </w:r>
            </w:hyperlink>
            <w:r w:rsidRPr="00DC21F5">
              <w:rPr>
                <w:rFonts w:ascii="Helvetica" w:eastAsia="Times New Roman" w:hAnsi="Helvetica" w:cs="Times New Roman"/>
                <w:color w:val="222222"/>
                <w:sz w:val="21"/>
                <w:szCs w:val="21"/>
              </w:rPr>
              <w:t> referencing unsigned .exe files.</w:t>
            </w:r>
          </w:p>
        </w:tc>
      </w:tr>
      <w:tr w:rsidR="00DC21F5" w:rsidRPr="00DC21F5" w14:paraId="66AF3A72"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0AA331"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Persistence by IFEO injection</w:t>
            </w:r>
          </w:p>
          <w:p w14:paraId="4F237CA5" w14:textId="77777777" w:rsidR="00DC21F5" w:rsidRPr="00DC21F5" w:rsidRDefault="00DC21F5" w:rsidP="00DC21F5">
            <w:pPr>
              <w:textAlignment w:val="baseline"/>
              <w:rPr>
                <w:rFonts w:ascii="Helvetica" w:eastAsia="Times New Roman" w:hAnsi="Helvetica" w:cs="Times New Roman"/>
                <w:color w:val="222222"/>
                <w:sz w:val="21"/>
                <w:szCs w:val="21"/>
              </w:rPr>
            </w:pPr>
            <w:hyperlink r:id="rId22" w:history="1">
              <w:r w:rsidRPr="00DC21F5">
                <w:rPr>
                  <w:rFonts w:ascii="inherit" w:eastAsia="Times New Roman" w:hAnsi="inherit" w:cs="Times New Roman"/>
                  <w:color w:val="2E5799"/>
                  <w:sz w:val="21"/>
                  <w:szCs w:val="21"/>
                  <w:bdr w:val="none" w:sz="0" w:space="0" w:color="auto" w:frame="1"/>
                </w:rPr>
                <w:t>ATT&amp;CK: T1183</w:t>
              </w:r>
            </w:hyperlink>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71AAB9"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modifications and new entries referencing .exe files under registry key HKEY_LOCAL_MACHINE\SOFTWARE\Microsoft\Windows NT\CurrentVersion\Image File Execution Options.</w:t>
            </w:r>
          </w:p>
        </w:tc>
      </w:tr>
      <w:tr w:rsidR="00DC21F5" w:rsidRPr="00DC21F5" w14:paraId="681C0D00"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620CF1"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Command and control (C2) established using hard-coded DNS servers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97581D"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PEs executions with run DNS lookups to 8.8.8.8:53. This may be applicable to sandbox and other malware processing technologies.</w:t>
            </w:r>
          </w:p>
        </w:tc>
      </w:tr>
      <w:tr w:rsidR="00DC21F5" w:rsidRPr="00DC21F5" w14:paraId="3F374805"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2BA93F"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C2 using favored C2ports</w:t>
            </w:r>
          </w:p>
          <w:p w14:paraId="01088D1D" w14:textId="77777777" w:rsidR="00DC21F5" w:rsidRPr="00DC21F5" w:rsidRDefault="00DC21F5" w:rsidP="00DC21F5">
            <w:pPr>
              <w:textAlignment w:val="baseline"/>
              <w:rPr>
                <w:rFonts w:ascii="Helvetica" w:eastAsia="Times New Roman" w:hAnsi="Helvetica" w:cs="Times New Roman"/>
                <w:color w:val="222222"/>
                <w:sz w:val="21"/>
                <w:szCs w:val="21"/>
              </w:rPr>
            </w:pPr>
            <w:hyperlink r:id="rId23" w:history="1">
              <w:r w:rsidRPr="00DC21F5">
                <w:rPr>
                  <w:rFonts w:ascii="inherit" w:eastAsia="Times New Roman" w:hAnsi="inherit" w:cs="Times New Roman"/>
                  <w:color w:val="2E5799"/>
                  <w:sz w:val="21"/>
                  <w:szCs w:val="21"/>
                  <w:bdr w:val="none" w:sz="0" w:space="0" w:color="auto" w:frame="1"/>
                </w:rPr>
                <w:t>ATT&amp;CK: T1043</w:t>
              </w:r>
            </w:hyperlink>
          </w:p>
          <w:p w14:paraId="401A3FFE" w14:textId="77777777" w:rsidR="00DC21F5" w:rsidRPr="00DC21F5" w:rsidRDefault="00DC21F5" w:rsidP="00DC21F5">
            <w:pPr>
              <w:textAlignment w:val="baseline"/>
              <w:rPr>
                <w:rFonts w:ascii="Helvetica" w:eastAsia="Times New Roman" w:hAnsi="Helvetica" w:cs="Times New Roman"/>
                <w:color w:val="222222"/>
                <w:sz w:val="21"/>
                <w:szCs w:val="21"/>
              </w:rPr>
            </w:pPr>
            <w:hyperlink r:id="rId24" w:history="1">
              <w:r w:rsidRPr="00DC21F5">
                <w:rPr>
                  <w:rFonts w:ascii="inherit" w:eastAsia="Times New Roman" w:hAnsi="inherit" w:cs="Times New Roman"/>
                  <w:color w:val="2E5799"/>
                  <w:sz w:val="21"/>
                  <w:szCs w:val="21"/>
                  <w:bdr w:val="none" w:sz="0" w:space="0" w:color="auto" w:frame="1"/>
                </w:rPr>
                <w:t>ATT&amp;CK: T1065</w:t>
              </w:r>
            </w:hyperlink>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15BE6D"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outbound connections with port-protocol mismatches on common and uncommon ports such as 443, 4444, 8531, and 50501.</w:t>
            </w:r>
          </w:p>
        </w:tc>
      </w:tr>
      <w:tr w:rsidR="00DC21F5" w:rsidRPr="00DC21F5" w14:paraId="44B7A2A5"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D2BB49"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C2 using favored Virtual Private Server (VPS) infrastructure</w:t>
            </w:r>
          </w:p>
          <w:p w14:paraId="1D67C6B3" w14:textId="77777777" w:rsidR="00DC21F5" w:rsidRPr="00DC21F5" w:rsidRDefault="00DC21F5" w:rsidP="00DC21F5">
            <w:pPr>
              <w:textAlignment w:val="baseline"/>
              <w:rPr>
                <w:rFonts w:ascii="Helvetica" w:eastAsia="Times New Roman" w:hAnsi="Helvetica" w:cs="Times New Roman"/>
                <w:color w:val="222222"/>
                <w:sz w:val="21"/>
                <w:szCs w:val="21"/>
              </w:rPr>
            </w:pPr>
            <w:hyperlink r:id="rId25" w:history="1">
              <w:r w:rsidRPr="00DC21F5">
                <w:rPr>
                  <w:rFonts w:ascii="inherit" w:eastAsia="Times New Roman" w:hAnsi="inherit" w:cs="Times New Roman"/>
                  <w:color w:val="2E5799"/>
                  <w:sz w:val="21"/>
                  <w:szCs w:val="21"/>
                  <w:bdr w:val="none" w:sz="0" w:space="0" w:color="auto" w:frame="1"/>
                </w:rPr>
                <w:t>ATT&amp;CK: T1329</w:t>
              </w:r>
            </w:hyperlink>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3E791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inbound and outbound connections from and to non-standard IP ranges, especially from international VPS providers like OVH and UK-2 Limited (uk2.net).</w:t>
            </w:r>
          </w:p>
        </w:tc>
      </w:tr>
      <w:tr w:rsidR="00DC21F5" w:rsidRPr="00DC21F5" w14:paraId="7224A485"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E77E7D"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C2 domains with hyphen</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EC667C"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newly observed 2LD and 3LD domains that contain hyphens.</w:t>
            </w:r>
          </w:p>
        </w:tc>
      </w:tr>
      <w:tr w:rsidR="00DC21F5" w:rsidRPr="00DC21F5" w14:paraId="74E1241D"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C87DBA"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C&amp;C using dynamic DNS domains from afraid.org</w:t>
            </w:r>
          </w:p>
          <w:p w14:paraId="608C0257" w14:textId="77777777" w:rsidR="00DC21F5" w:rsidRPr="00DC21F5" w:rsidRDefault="00DC21F5" w:rsidP="00DC21F5">
            <w:pPr>
              <w:textAlignment w:val="baseline"/>
              <w:rPr>
                <w:rFonts w:ascii="Helvetica" w:eastAsia="Times New Roman" w:hAnsi="Helvetica" w:cs="Times New Roman"/>
                <w:color w:val="222222"/>
                <w:sz w:val="21"/>
                <w:szCs w:val="21"/>
              </w:rPr>
            </w:pPr>
            <w:hyperlink r:id="rId26" w:history="1">
              <w:r w:rsidRPr="00DC21F5">
                <w:rPr>
                  <w:rFonts w:ascii="inherit" w:eastAsia="Times New Roman" w:hAnsi="inherit" w:cs="Times New Roman"/>
                  <w:color w:val="2E5799"/>
                  <w:sz w:val="21"/>
                  <w:szCs w:val="21"/>
                  <w:bdr w:val="none" w:sz="0" w:space="0" w:color="auto" w:frame="1"/>
                </w:rPr>
                <w:t>ATT&amp;CK: T1311</w:t>
              </w:r>
            </w:hyperlink>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429F2B"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newly observed dynamic DNS domains owned or registered with afraid.org.</w:t>
            </w:r>
          </w:p>
        </w:tc>
      </w:tr>
      <w:tr w:rsidR="00DC21F5" w:rsidRPr="00DC21F5" w14:paraId="1E4A1E74"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335129"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lastRenderedPageBreak/>
              <w:t>C2 domains registered with vfemail.net email addresses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BD8FFF"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newly observed domains or DNS resolutions to domains with registrant email information containing vfemail.net</w:t>
            </w:r>
          </w:p>
        </w:tc>
      </w:tr>
      <w:tr w:rsidR="00DC21F5" w:rsidRPr="00DC21F5" w14:paraId="6928DB57"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7F027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Tunneled RDP using PLINK</w:t>
            </w:r>
          </w:p>
          <w:p w14:paraId="4F8D424D" w14:textId="77777777" w:rsidR="00DC21F5" w:rsidRPr="00DC21F5" w:rsidRDefault="00DC21F5" w:rsidP="00DC21F5">
            <w:pPr>
              <w:textAlignment w:val="baseline"/>
              <w:rPr>
                <w:rFonts w:ascii="Helvetica" w:eastAsia="Times New Roman" w:hAnsi="Helvetica" w:cs="Times New Roman"/>
                <w:color w:val="222222"/>
                <w:sz w:val="21"/>
                <w:szCs w:val="21"/>
              </w:rPr>
            </w:pPr>
            <w:hyperlink r:id="rId27" w:history="1">
              <w:r w:rsidRPr="00DC21F5">
                <w:rPr>
                  <w:rFonts w:ascii="inherit" w:eastAsia="Times New Roman" w:hAnsi="inherit" w:cs="Times New Roman"/>
                  <w:color w:val="2E5799"/>
                  <w:sz w:val="21"/>
                  <w:szCs w:val="21"/>
                  <w:bdr w:val="none" w:sz="0" w:space="0" w:color="auto" w:frame="1"/>
                </w:rPr>
                <w:t>ATT&amp;CK: T1076</w:t>
              </w:r>
            </w:hyperlink>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3565FA" w14:textId="77777777" w:rsidR="00DC21F5" w:rsidRPr="00DC21F5" w:rsidRDefault="00DC21F5" w:rsidP="00DC21F5">
            <w:pPr>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the presence of PLINK and non-standard RDP usage with event logs, firewall logs, and registry keys as described in the FireEye blog post "</w:t>
            </w:r>
            <w:hyperlink r:id="rId28" w:history="1">
              <w:r w:rsidRPr="00DC21F5">
                <w:rPr>
                  <w:rFonts w:ascii="inherit" w:eastAsia="Times New Roman" w:hAnsi="inherit" w:cs="Times New Roman"/>
                  <w:color w:val="2E5799"/>
                  <w:sz w:val="21"/>
                  <w:szCs w:val="21"/>
                  <w:bdr w:val="none" w:sz="0" w:space="0" w:color="auto" w:frame="1"/>
                </w:rPr>
                <w:t>Bypassing Network Restrictions Through RDP Tunneling.</w:t>
              </w:r>
            </w:hyperlink>
            <w:r w:rsidRPr="00DC21F5">
              <w:rPr>
                <w:rFonts w:ascii="Helvetica" w:eastAsia="Times New Roman" w:hAnsi="Helvetica" w:cs="Times New Roman"/>
                <w:color w:val="222222"/>
                <w:sz w:val="21"/>
                <w:szCs w:val="21"/>
              </w:rPr>
              <w:t>"</w:t>
            </w:r>
          </w:p>
          <w:p w14:paraId="10961824"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Find internal RDP pivoting by looking for bitmap cache files under user accounts that should not be accessing sensitive systems via RDP. Look for bitmap cache files such as bcache22.bmc under default, service, or administrator accounts or any account not expected to be conducting internal RDP accesses to sensitive systems in a protected OT-connected zone, especially in the DMZ or DCS areas like HMIs or engineering workstations.</w:t>
            </w:r>
          </w:p>
        </w:tc>
      </w:tr>
      <w:tr w:rsidR="00DC21F5" w:rsidRPr="00DC21F5" w14:paraId="2EDF5B93"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7396A2"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C2 using hard-coded SSH private keys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66B29E"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PEs with hard-coded OpenSSH private keys.</w:t>
            </w:r>
          </w:p>
        </w:tc>
      </w:tr>
      <w:tr w:rsidR="00DC21F5" w:rsidRPr="00DC21F5" w14:paraId="50765FFB"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C8D9C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Use of direct RDP</w:t>
            </w:r>
          </w:p>
          <w:p w14:paraId="3956F2FE" w14:textId="77777777" w:rsidR="00DC21F5" w:rsidRPr="00DC21F5" w:rsidRDefault="00DC21F5" w:rsidP="00DC21F5">
            <w:pPr>
              <w:textAlignment w:val="baseline"/>
              <w:rPr>
                <w:rFonts w:ascii="Helvetica" w:eastAsia="Times New Roman" w:hAnsi="Helvetica" w:cs="Times New Roman"/>
                <w:color w:val="222222"/>
                <w:sz w:val="21"/>
                <w:szCs w:val="21"/>
              </w:rPr>
            </w:pPr>
            <w:hyperlink r:id="rId29" w:history="1">
              <w:r w:rsidRPr="00DC21F5">
                <w:rPr>
                  <w:rFonts w:ascii="inherit" w:eastAsia="Times New Roman" w:hAnsi="inherit" w:cs="Times New Roman"/>
                  <w:color w:val="2E5799"/>
                  <w:sz w:val="21"/>
                  <w:szCs w:val="21"/>
                  <w:bdr w:val="none" w:sz="0" w:space="0" w:color="auto" w:frame="1"/>
                </w:rPr>
                <w:t>ATT&amp;CK: T1076</w:t>
              </w:r>
            </w:hyperlink>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B4DC5A" w14:textId="77777777" w:rsidR="00DC21F5" w:rsidRPr="00DC21F5" w:rsidRDefault="00DC21F5" w:rsidP="00DC21F5">
            <w:pPr>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inbound RDP connections with default host information, non-standard or unexpected locale IDs, or other metadata. See also the </w:t>
            </w:r>
            <w:hyperlink r:id="rId30" w:history="1">
              <w:r w:rsidRPr="00DC21F5">
                <w:rPr>
                  <w:rFonts w:ascii="inherit" w:eastAsia="Times New Roman" w:hAnsi="inherit" w:cs="Times New Roman"/>
                  <w:color w:val="2E5799"/>
                  <w:sz w:val="21"/>
                  <w:szCs w:val="21"/>
                  <w:bdr w:val="none" w:sz="0" w:space="0" w:color="auto" w:frame="1"/>
                </w:rPr>
                <w:t>FireEye blog post on baselining RDP</w:t>
              </w:r>
            </w:hyperlink>
            <w:r w:rsidRPr="00DC21F5">
              <w:rPr>
                <w:rFonts w:ascii="Helvetica" w:eastAsia="Times New Roman" w:hAnsi="Helvetica" w:cs="Times New Roman"/>
                <w:color w:val="222222"/>
                <w:sz w:val="21"/>
                <w:szCs w:val="21"/>
              </w:rPr>
              <w:t> activity.</w:t>
            </w:r>
          </w:p>
        </w:tc>
      </w:tr>
      <w:tr w:rsidR="00DC21F5" w:rsidRPr="00DC21F5" w14:paraId="1F89AFF7"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4D009D"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C2 using source systems with default Windows hostnames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1D7E78"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default Windows hostnames that fit the structure WIN-[A-Z0-9]{11} (e.g., WIN-ABCDEFGH1JK) in PE certificates, SSL and SSH certificates, and RDP handshakes.</w:t>
            </w:r>
          </w:p>
        </w:tc>
      </w:tr>
      <w:tr w:rsidR="00DC21F5" w:rsidRPr="00DC21F5" w14:paraId="3BBD3E38"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305FA4"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C2 using SSH</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D1BFF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 xml:space="preserve">Look for new, unique, or unusual SSH sessions. Logging of SSH keys and fingerprints would quickly and easily identify an anomalous session </w:t>
            </w:r>
            <w:proofErr w:type="gramStart"/>
            <w:r w:rsidRPr="00DC21F5">
              <w:rPr>
                <w:rFonts w:ascii="Helvetica" w:eastAsia="Times New Roman" w:hAnsi="Helvetica" w:cs="Times New Roman"/>
                <w:color w:val="222222"/>
                <w:sz w:val="21"/>
                <w:szCs w:val="21"/>
              </w:rPr>
              <w:t>as a result of</w:t>
            </w:r>
            <w:proofErr w:type="gramEnd"/>
            <w:r w:rsidRPr="00DC21F5">
              <w:rPr>
                <w:rFonts w:ascii="Helvetica" w:eastAsia="Times New Roman" w:hAnsi="Helvetica" w:cs="Times New Roman"/>
                <w:color w:val="222222"/>
                <w:sz w:val="21"/>
                <w:szCs w:val="21"/>
              </w:rPr>
              <w:t xml:space="preserve"> malware. Look for SSH over non-standard ports.</w:t>
            </w:r>
          </w:p>
        </w:tc>
      </w:tr>
      <w:tr w:rsidR="00DC21F5" w:rsidRPr="00DC21F5" w14:paraId="307155AF"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08BF0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Compromised VPN accounts</w:t>
            </w:r>
          </w:p>
          <w:p w14:paraId="7894B9AB" w14:textId="77777777" w:rsidR="00DC21F5" w:rsidRPr="00DC21F5" w:rsidRDefault="00DC21F5" w:rsidP="00DC21F5">
            <w:pPr>
              <w:textAlignment w:val="baseline"/>
              <w:rPr>
                <w:rFonts w:ascii="Helvetica" w:eastAsia="Times New Roman" w:hAnsi="Helvetica" w:cs="Times New Roman"/>
                <w:color w:val="222222"/>
                <w:sz w:val="21"/>
                <w:szCs w:val="21"/>
              </w:rPr>
            </w:pPr>
            <w:hyperlink r:id="rId31" w:history="1">
              <w:r w:rsidRPr="00DC21F5">
                <w:rPr>
                  <w:rFonts w:ascii="inherit" w:eastAsia="Times New Roman" w:hAnsi="inherit" w:cs="Times New Roman"/>
                  <w:color w:val="2E5799"/>
                  <w:sz w:val="21"/>
                  <w:szCs w:val="21"/>
                  <w:bdr w:val="none" w:sz="0" w:space="0" w:color="auto" w:frame="1"/>
                </w:rPr>
                <w:t>ATT&amp;CK: T1078</w:t>
              </w:r>
            </w:hyperlink>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A3BE51" w14:textId="77777777" w:rsidR="00DC21F5" w:rsidRPr="00DC21F5" w:rsidRDefault="00DC21F5" w:rsidP="00DC21F5">
            <w:pPr>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VPN logon anomalies based on infeasible patterns such as source account location, IP address, and hostname associations. Check out the FireEye blog post and free toolset for VPN logon analysis, </w:t>
            </w:r>
            <w:proofErr w:type="spellStart"/>
            <w:r w:rsidRPr="00DC21F5">
              <w:rPr>
                <w:rFonts w:ascii="Helvetica" w:eastAsia="Times New Roman" w:hAnsi="Helvetica" w:cs="Times New Roman"/>
                <w:color w:val="222222"/>
                <w:sz w:val="21"/>
                <w:szCs w:val="21"/>
              </w:rPr>
              <w:fldChar w:fldCharType="begin"/>
            </w:r>
            <w:r w:rsidRPr="00DC21F5">
              <w:rPr>
                <w:rFonts w:ascii="Helvetica" w:eastAsia="Times New Roman" w:hAnsi="Helvetica" w:cs="Times New Roman"/>
                <w:color w:val="222222"/>
                <w:sz w:val="21"/>
                <w:szCs w:val="21"/>
              </w:rPr>
              <w:instrText xml:space="preserve"> HYPERLINK "https://www.fireeye.com/blog/threat-research/2018/05/remote-authentication-geofeasibility-tool-geologonalyzer.html" </w:instrText>
            </w:r>
            <w:r w:rsidRPr="00DC21F5">
              <w:rPr>
                <w:rFonts w:ascii="Helvetica" w:eastAsia="Times New Roman" w:hAnsi="Helvetica" w:cs="Times New Roman"/>
                <w:color w:val="222222"/>
                <w:sz w:val="21"/>
                <w:szCs w:val="21"/>
              </w:rPr>
              <w:fldChar w:fldCharType="separate"/>
            </w:r>
            <w:r w:rsidRPr="00DC21F5">
              <w:rPr>
                <w:rFonts w:ascii="inherit" w:eastAsia="Times New Roman" w:hAnsi="inherit" w:cs="Times New Roman"/>
                <w:color w:val="2E5799"/>
                <w:sz w:val="21"/>
                <w:szCs w:val="21"/>
                <w:bdr w:val="none" w:sz="0" w:space="0" w:color="auto" w:frame="1"/>
              </w:rPr>
              <w:t>GeoLogonalyzer</w:t>
            </w:r>
            <w:proofErr w:type="spellEnd"/>
            <w:r w:rsidRPr="00DC21F5">
              <w:rPr>
                <w:rFonts w:ascii="Helvetica" w:eastAsia="Times New Roman" w:hAnsi="Helvetica" w:cs="Times New Roman"/>
                <w:color w:val="222222"/>
                <w:sz w:val="21"/>
                <w:szCs w:val="21"/>
              </w:rPr>
              <w:fldChar w:fldCharType="end"/>
            </w:r>
            <w:r w:rsidRPr="00DC21F5">
              <w:rPr>
                <w:rFonts w:ascii="Helvetica" w:eastAsia="Times New Roman" w:hAnsi="Helvetica" w:cs="Times New Roman"/>
                <w:color w:val="222222"/>
                <w:sz w:val="21"/>
                <w:szCs w:val="21"/>
              </w:rPr>
              <w:t>.</w:t>
            </w:r>
          </w:p>
          <w:p w14:paraId="30C92A87"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If you use SMS-based MFA, look for phone numbers registered outside the country where your employees operate.</w:t>
            </w:r>
          </w:p>
        </w:tc>
      </w:tr>
      <w:tr w:rsidR="00DC21F5" w:rsidRPr="00DC21F5" w14:paraId="53C57AC5"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F0EFD9"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 xml:space="preserve">Malware masquerading </w:t>
            </w:r>
            <w:r w:rsidRPr="00DC21F5">
              <w:rPr>
                <w:rFonts w:ascii="Helvetica" w:eastAsia="Times New Roman" w:hAnsi="Helvetica" w:cs="Times New Roman"/>
                <w:color w:val="222222"/>
                <w:sz w:val="21"/>
                <w:szCs w:val="21"/>
              </w:rPr>
              <w:lastRenderedPageBreak/>
              <w:t>as Microsoft Corporation</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2E0011"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lastRenderedPageBreak/>
              <w:t>Look for PEs with mismatched PE metadata such as contains "</w:t>
            </w:r>
            <w:proofErr w:type="spellStart"/>
            <w:r w:rsidRPr="00DC21F5">
              <w:rPr>
                <w:rFonts w:ascii="Helvetica" w:eastAsia="Times New Roman" w:hAnsi="Helvetica" w:cs="Times New Roman"/>
                <w:color w:val="222222"/>
                <w:sz w:val="21"/>
                <w:szCs w:val="21"/>
              </w:rPr>
              <w:t>Bitvise</w:t>
            </w:r>
            <w:proofErr w:type="spellEnd"/>
            <w:r w:rsidRPr="00DC21F5">
              <w:rPr>
                <w:rFonts w:ascii="Helvetica" w:eastAsia="Times New Roman" w:hAnsi="Helvetica" w:cs="Times New Roman"/>
                <w:color w:val="222222"/>
                <w:sz w:val="21"/>
                <w:szCs w:val="21"/>
              </w:rPr>
              <w:t xml:space="preserve">" strings </w:t>
            </w:r>
            <w:proofErr w:type="gramStart"/>
            <w:r w:rsidRPr="00DC21F5">
              <w:rPr>
                <w:rFonts w:ascii="Helvetica" w:eastAsia="Times New Roman" w:hAnsi="Helvetica" w:cs="Times New Roman"/>
                <w:color w:val="222222"/>
                <w:sz w:val="21"/>
                <w:szCs w:val="21"/>
              </w:rPr>
              <w:t>and also</w:t>
            </w:r>
            <w:proofErr w:type="gramEnd"/>
            <w:r w:rsidRPr="00DC21F5">
              <w:rPr>
                <w:rFonts w:ascii="Helvetica" w:eastAsia="Times New Roman" w:hAnsi="Helvetica" w:cs="Times New Roman"/>
                <w:color w:val="222222"/>
                <w:sz w:val="21"/>
                <w:szCs w:val="21"/>
              </w:rPr>
              <w:t xml:space="preserve"> "Microsoft Corporation" in the metadata. Look for unsigned "Microsoft Corporation" binaries in the group's common staging directories.</w:t>
            </w:r>
          </w:p>
        </w:tc>
      </w:tr>
      <w:tr w:rsidR="00DC21F5" w:rsidRPr="00DC21F5" w14:paraId="079A21D9"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03B54D"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 xml:space="preserve">Use of customized </w:t>
            </w:r>
            <w:proofErr w:type="spellStart"/>
            <w:r w:rsidRPr="00DC21F5">
              <w:rPr>
                <w:rFonts w:ascii="Helvetica" w:eastAsia="Times New Roman" w:hAnsi="Helvetica" w:cs="Times New Roman"/>
                <w:color w:val="222222"/>
                <w:sz w:val="21"/>
                <w:szCs w:val="21"/>
              </w:rPr>
              <w:t>Bitvise</w:t>
            </w:r>
            <w:proofErr w:type="spellEnd"/>
            <w:r w:rsidRPr="00DC21F5">
              <w:rPr>
                <w:rFonts w:ascii="Helvetica" w:eastAsia="Times New Roman" w:hAnsi="Helvetica" w:cs="Times New Roman"/>
                <w:color w:val="222222"/>
                <w:sz w:val="21"/>
                <w:szCs w:val="21"/>
              </w:rPr>
              <w:t xml:space="preserve"> binaries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4F2DBA"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 xml:space="preserve">Look for PEs with </w:t>
            </w:r>
            <w:proofErr w:type="spellStart"/>
            <w:r w:rsidRPr="00DC21F5">
              <w:rPr>
                <w:rFonts w:ascii="Helvetica" w:eastAsia="Times New Roman" w:hAnsi="Helvetica" w:cs="Times New Roman"/>
                <w:color w:val="222222"/>
                <w:sz w:val="21"/>
                <w:szCs w:val="21"/>
              </w:rPr>
              <w:t>Bitvise</w:t>
            </w:r>
            <w:proofErr w:type="spellEnd"/>
            <w:r w:rsidRPr="00DC21F5">
              <w:rPr>
                <w:rFonts w:ascii="Helvetica" w:eastAsia="Times New Roman" w:hAnsi="Helvetica" w:cs="Times New Roman"/>
                <w:color w:val="222222"/>
                <w:sz w:val="21"/>
                <w:szCs w:val="21"/>
              </w:rPr>
              <w:t xml:space="preserve"> PDB path strings such as d:\repos\main\ssh2\.</w:t>
            </w:r>
          </w:p>
        </w:tc>
      </w:tr>
      <w:tr w:rsidR="00DC21F5" w:rsidRPr="00DC21F5" w14:paraId="1A85296C"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113D2D"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Use of customized OpenSSH binaries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64BBCB"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 xml:space="preserve">Look for PEs with content "Microsoft </w:t>
            </w:r>
            <w:proofErr w:type="spellStart"/>
            <w:r w:rsidRPr="00DC21F5">
              <w:rPr>
                <w:rFonts w:ascii="Helvetica" w:eastAsia="Times New Roman" w:hAnsi="Helvetica" w:cs="Times New Roman"/>
                <w:color w:val="222222"/>
                <w:sz w:val="21"/>
                <w:szCs w:val="21"/>
              </w:rPr>
              <w:t>openSSH</w:t>
            </w:r>
            <w:proofErr w:type="spellEnd"/>
            <w:r w:rsidRPr="00DC21F5">
              <w:rPr>
                <w:rFonts w:ascii="Helvetica" w:eastAsia="Times New Roman" w:hAnsi="Helvetica" w:cs="Times New Roman"/>
                <w:color w:val="222222"/>
                <w:sz w:val="21"/>
                <w:szCs w:val="21"/>
              </w:rPr>
              <w:t xml:space="preserve"> client."</w:t>
            </w:r>
          </w:p>
        </w:tc>
      </w:tr>
      <w:tr w:rsidR="00DC21F5" w:rsidRPr="00DC21F5" w14:paraId="6013C451"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92E37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 xml:space="preserve">Use of customized </w:t>
            </w:r>
            <w:proofErr w:type="spellStart"/>
            <w:r w:rsidRPr="00DC21F5">
              <w:rPr>
                <w:rFonts w:ascii="Helvetica" w:eastAsia="Times New Roman" w:hAnsi="Helvetica" w:cs="Times New Roman"/>
                <w:color w:val="222222"/>
                <w:sz w:val="21"/>
                <w:szCs w:val="21"/>
              </w:rPr>
              <w:t>Cryptcat</w:t>
            </w:r>
            <w:proofErr w:type="spellEnd"/>
            <w:r w:rsidRPr="00DC21F5">
              <w:rPr>
                <w:rFonts w:ascii="Helvetica" w:eastAsia="Times New Roman" w:hAnsi="Helvetica" w:cs="Times New Roman"/>
                <w:color w:val="222222"/>
                <w:sz w:val="21"/>
                <w:szCs w:val="21"/>
              </w:rPr>
              <w:t xml:space="preserve"> but with default password</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2BF2EF"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 xml:space="preserve">Look for PEs that drop </w:t>
            </w:r>
            <w:proofErr w:type="spellStart"/>
            <w:r w:rsidRPr="00DC21F5">
              <w:rPr>
                <w:rFonts w:ascii="Helvetica" w:eastAsia="Times New Roman" w:hAnsi="Helvetica" w:cs="Times New Roman"/>
                <w:color w:val="222222"/>
                <w:sz w:val="21"/>
                <w:szCs w:val="21"/>
              </w:rPr>
              <w:t>Cryptcat</w:t>
            </w:r>
            <w:proofErr w:type="spellEnd"/>
            <w:r w:rsidRPr="00DC21F5">
              <w:rPr>
                <w:rFonts w:ascii="Helvetica" w:eastAsia="Times New Roman" w:hAnsi="Helvetica" w:cs="Times New Roman"/>
                <w:color w:val="222222"/>
                <w:sz w:val="21"/>
                <w:szCs w:val="21"/>
              </w:rPr>
              <w:t xml:space="preserve"> binaries or contain </w:t>
            </w:r>
            <w:proofErr w:type="spellStart"/>
            <w:r w:rsidRPr="00DC21F5">
              <w:rPr>
                <w:rFonts w:ascii="Helvetica" w:eastAsia="Times New Roman" w:hAnsi="Helvetica" w:cs="Times New Roman"/>
                <w:color w:val="222222"/>
                <w:sz w:val="21"/>
                <w:szCs w:val="21"/>
              </w:rPr>
              <w:t>Cryptcat</w:t>
            </w:r>
            <w:proofErr w:type="spellEnd"/>
            <w:r w:rsidRPr="00DC21F5">
              <w:rPr>
                <w:rFonts w:ascii="Helvetica" w:eastAsia="Times New Roman" w:hAnsi="Helvetica" w:cs="Times New Roman"/>
                <w:color w:val="222222"/>
                <w:sz w:val="21"/>
                <w:szCs w:val="21"/>
              </w:rPr>
              <w:t xml:space="preserve"> string content such as the default password "</w:t>
            </w:r>
            <w:proofErr w:type="spellStart"/>
            <w:r w:rsidRPr="00DC21F5">
              <w:rPr>
                <w:rFonts w:ascii="Helvetica" w:eastAsia="Times New Roman" w:hAnsi="Helvetica" w:cs="Times New Roman"/>
                <w:color w:val="222222"/>
                <w:sz w:val="21"/>
                <w:szCs w:val="21"/>
              </w:rPr>
              <w:t>metallica</w:t>
            </w:r>
            <w:proofErr w:type="spellEnd"/>
            <w:r w:rsidRPr="00DC21F5">
              <w:rPr>
                <w:rFonts w:ascii="Helvetica" w:eastAsia="Times New Roman" w:hAnsi="Helvetica" w:cs="Times New Roman"/>
                <w:color w:val="222222"/>
                <w:sz w:val="21"/>
                <w:szCs w:val="21"/>
              </w:rPr>
              <w:t>."</w:t>
            </w:r>
          </w:p>
        </w:tc>
      </w:tr>
      <w:tr w:rsidR="00DC21F5" w:rsidRPr="00DC21F5" w14:paraId="422CB1AC"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5F48CA"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proofErr w:type="spellStart"/>
            <w:r w:rsidRPr="00DC21F5">
              <w:rPr>
                <w:rFonts w:ascii="Helvetica" w:eastAsia="Times New Roman" w:hAnsi="Helvetica" w:cs="Times New Roman"/>
                <w:color w:val="222222"/>
                <w:sz w:val="21"/>
                <w:szCs w:val="21"/>
              </w:rPr>
              <w:t>Timestomping</w:t>
            </w:r>
            <w:proofErr w:type="spellEnd"/>
            <w:r w:rsidRPr="00DC21F5">
              <w:rPr>
                <w:rFonts w:ascii="Helvetica" w:eastAsia="Times New Roman" w:hAnsi="Helvetica" w:cs="Times New Roman"/>
                <w:color w:val="222222"/>
                <w:sz w:val="21"/>
                <w:szCs w:val="21"/>
              </w:rPr>
              <w:t xml:space="preserve"> via PowerShell</w:t>
            </w:r>
          </w:p>
          <w:p w14:paraId="6F7866C4" w14:textId="77777777" w:rsidR="00DC21F5" w:rsidRPr="00DC21F5" w:rsidRDefault="00DC21F5" w:rsidP="00DC21F5">
            <w:pPr>
              <w:textAlignment w:val="baseline"/>
              <w:rPr>
                <w:rFonts w:ascii="Helvetica" w:eastAsia="Times New Roman" w:hAnsi="Helvetica" w:cs="Times New Roman"/>
                <w:color w:val="222222"/>
                <w:sz w:val="21"/>
                <w:szCs w:val="21"/>
              </w:rPr>
            </w:pPr>
            <w:hyperlink r:id="rId32" w:history="1">
              <w:r w:rsidRPr="00DC21F5">
                <w:rPr>
                  <w:rFonts w:ascii="inherit" w:eastAsia="Times New Roman" w:hAnsi="inherit" w:cs="Times New Roman"/>
                  <w:color w:val="2E5799"/>
                  <w:sz w:val="21"/>
                  <w:szCs w:val="21"/>
                  <w:bdr w:val="none" w:sz="0" w:space="0" w:color="auto" w:frame="1"/>
                </w:rPr>
                <w:t>ATT&amp;CK: T1099</w:t>
              </w:r>
            </w:hyperlink>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0B50EE"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 xml:space="preserve">Look for </w:t>
            </w:r>
            <w:proofErr w:type="spellStart"/>
            <w:r w:rsidRPr="00DC21F5">
              <w:rPr>
                <w:rFonts w:ascii="Helvetica" w:eastAsia="Times New Roman" w:hAnsi="Helvetica" w:cs="Times New Roman"/>
                <w:color w:val="222222"/>
                <w:sz w:val="21"/>
                <w:szCs w:val="21"/>
              </w:rPr>
              <w:t>timestomping</w:t>
            </w:r>
            <w:proofErr w:type="spellEnd"/>
            <w:r w:rsidRPr="00DC21F5">
              <w:rPr>
                <w:rFonts w:ascii="Helvetica" w:eastAsia="Times New Roman" w:hAnsi="Helvetica" w:cs="Times New Roman"/>
                <w:color w:val="222222"/>
                <w:sz w:val="21"/>
                <w:szCs w:val="21"/>
              </w:rPr>
              <w:t xml:space="preserve"> command strings such as </w:t>
            </w:r>
            <w:proofErr w:type="gramStart"/>
            <w:r w:rsidRPr="00DC21F5">
              <w:rPr>
                <w:rFonts w:ascii="Helvetica" w:eastAsia="Times New Roman" w:hAnsi="Helvetica" w:cs="Times New Roman"/>
                <w:color w:val="222222"/>
                <w:sz w:val="21"/>
                <w:szCs w:val="21"/>
              </w:rPr>
              <w:t>".</w:t>
            </w:r>
            <w:proofErr w:type="spellStart"/>
            <w:r w:rsidRPr="00DC21F5">
              <w:rPr>
                <w:rFonts w:ascii="Helvetica" w:eastAsia="Times New Roman" w:hAnsi="Helvetica" w:cs="Times New Roman"/>
                <w:color w:val="222222"/>
                <w:sz w:val="21"/>
                <w:szCs w:val="21"/>
              </w:rPr>
              <w:t>CreationTime</w:t>
            </w:r>
            <w:proofErr w:type="spellEnd"/>
            <w:proofErr w:type="gramEnd"/>
            <w:r w:rsidRPr="00DC21F5">
              <w:rPr>
                <w:rFonts w:ascii="Helvetica" w:eastAsia="Times New Roman" w:hAnsi="Helvetica" w:cs="Times New Roman"/>
                <w:color w:val="222222"/>
                <w:sz w:val="21"/>
                <w:szCs w:val="21"/>
              </w:rPr>
              <w:t>=" in PowerShell scripts or in PowerShell command-line entries. Look for PEs with NTFS creation time prior to PE compile time.</w:t>
            </w:r>
          </w:p>
        </w:tc>
      </w:tr>
      <w:tr w:rsidR="00DC21F5" w:rsidRPr="00DC21F5" w14:paraId="1A1716FC"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A8ED06"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Deployment of binaries with debug information from developer workstations with Visual Studio 2010</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99DB58"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PEs with PDB paths containing default or generic paths such as</w:t>
            </w:r>
          </w:p>
          <w:p w14:paraId="4780827B" w14:textId="77777777" w:rsidR="00DC21F5" w:rsidRPr="00DC21F5" w:rsidRDefault="00DC21F5" w:rsidP="00DC21F5">
            <w:pPr>
              <w:numPr>
                <w:ilvl w:val="0"/>
                <w:numId w:val="6"/>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\Users\user\Documents\Visual Studio 2010\</w:t>
            </w:r>
          </w:p>
          <w:p w14:paraId="281A7569" w14:textId="77777777" w:rsidR="00DC21F5" w:rsidRPr="00DC21F5" w:rsidRDefault="00DC21F5" w:rsidP="00DC21F5">
            <w:pPr>
              <w:numPr>
                <w:ilvl w:val="0"/>
                <w:numId w:val="6"/>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\Documents\Visual Studio 2010\.</w:t>
            </w:r>
          </w:p>
        </w:tc>
      </w:tr>
      <w:tr w:rsidR="00DC21F5" w:rsidRPr="00DC21F5" w14:paraId="24498E87"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D99339"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 xml:space="preserve">Use of </w:t>
            </w:r>
            <w:proofErr w:type="spellStart"/>
            <w:r w:rsidRPr="00DC21F5">
              <w:rPr>
                <w:rFonts w:ascii="Helvetica" w:eastAsia="Times New Roman" w:hAnsi="Helvetica" w:cs="Times New Roman"/>
                <w:color w:val="222222"/>
                <w:sz w:val="21"/>
                <w:szCs w:val="21"/>
              </w:rPr>
              <w:t>Thinstall</w:t>
            </w:r>
            <w:proofErr w:type="spellEnd"/>
            <w:r w:rsidRPr="00DC21F5">
              <w:rPr>
                <w:rFonts w:ascii="Helvetica" w:eastAsia="Times New Roman" w:hAnsi="Helvetica" w:cs="Times New Roman"/>
                <w:color w:val="222222"/>
                <w:sz w:val="21"/>
                <w:szCs w:val="21"/>
              </w:rPr>
              <w:t xml:space="preserve"> for packaging malware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F1A4BB"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PE with content "</w:t>
            </w:r>
            <w:proofErr w:type="spellStart"/>
            <w:r w:rsidRPr="00DC21F5">
              <w:rPr>
                <w:rFonts w:ascii="Helvetica" w:eastAsia="Times New Roman" w:hAnsi="Helvetica" w:cs="Times New Roman"/>
                <w:color w:val="222222"/>
                <w:sz w:val="21"/>
                <w:szCs w:val="21"/>
              </w:rPr>
              <w:t>thinstall</w:t>
            </w:r>
            <w:proofErr w:type="spellEnd"/>
            <w:r w:rsidRPr="00DC21F5">
              <w:rPr>
                <w:rFonts w:ascii="Helvetica" w:eastAsia="Times New Roman" w:hAnsi="Helvetica" w:cs="Times New Roman"/>
                <w:color w:val="222222"/>
                <w:sz w:val="21"/>
                <w:szCs w:val="21"/>
              </w:rPr>
              <w:t xml:space="preserve">\modules\boot_loader.pdb." Look for </w:t>
            </w:r>
            <w:proofErr w:type="spellStart"/>
            <w:r w:rsidRPr="00DC21F5">
              <w:rPr>
                <w:rFonts w:ascii="Helvetica" w:eastAsia="Times New Roman" w:hAnsi="Helvetica" w:cs="Times New Roman"/>
                <w:color w:val="222222"/>
                <w:sz w:val="21"/>
                <w:szCs w:val="21"/>
              </w:rPr>
              <w:t>Thinstall</w:t>
            </w:r>
            <w:proofErr w:type="spellEnd"/>
            <w:r w:rsidRPr="00DC21F5">
              <w:rPr>
                <w:rFonts w:ascii="Helvetica" w:eastAsia="Times New Roman" w:hAnsi="Helvetica" w:cs="Times New Roman"/>
                <w:color w:val="222222"/>
                <w:sz w:val="21"/>
                <w:szCs w:val="21"/>
              </w:rPr>
              <w:t xml:space="preserve"> binaries that have created virtualized files in the context of the SYSTEM user "C:\Windows\SysWOW64\config\systemprofile\AppData\Roaming\Thinstall\."</w:t>
            </w:r>
          </w:p>
        </w:tc>
      </w:tr>
      <w:tr w:rsidR="00DC21F5" w:rsidRPr="00DC21F5" w14:paraId="68AF0C3F" w14:textId="77777777" w:rsidTr="00DC21F5">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ED8D8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 xml:space="preserve">Use of favored directories for operating, </w:t>
            </w:r>
            <w:proofErr w:type="gramStart"/>
            <w:r w:rsidRPr="00DC21F5">
              <w:rPr>
                <w:rFonts w:ascii="Helvetica" w:eastAsia="Times New Roman" w:hAnsi="Helvetica" w:cs="Times New Roman"/>
                <w:color w:val="222222"/>
                <w:sz w:val="21"/>
                <w:szCs w:val="21"/>
              </w:rPr>
              <w:t>staging</w:t>
            </w:r>
            <w:proofErr w:type="gramEnd"/>
            <w:r w:rsidRPr="00DC21F5">
              <w:rPr>
                <w:rFonts w:ascii="Helvetica" w:eastAsia="Times New Roman" w:hAnsi="Helvetica" w:cs="Times New Roman"/>
                <w:color w:val="222222"/>
                <w:sz w:val="21"/>
                <w:szCs w:val="21"/>
              </w:rPr>
              <w:t xml:space="preserve"> and executing files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5AA479"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Look for new, unexpected, or otherwise anomalous binaries in the following directories:</w:t>
            </w:r>
          </w:p>
          <w:p w14:paraId="68646D2D"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C:\Windows\system32\inetsrv\</w:t>
            </w:r>
          </w:p>
          <w:p w14:paraId="6FBD5287"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C:\Windows\temp\</w:t>
            </w:r>
          </w:p>
          <w:p w14:paraId="4D13F68F"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C:\Windows\SysWOW64\wbem</w:t>
            </w:r>
          </w:p>
          <w:p w14:paraId="11E6ACFC"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C:\Windows\SysWOW64\drivers</w:t>
            </w:r>
          </w:p>
          <w:p w14:paraId="5986FBA3"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C:\Windows\SysWOW64</w:t>
            </w:r>
          </w:p>
          <w:p w14:paraId="2A708FFB"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C:\Windows\system32\wbem\</w:t>
            </w:r>
          </w:p>
          <w:p w14:paraId="3B505C03"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lastRenderedPageBreak/>
              <w:t>C:\Windows\system32\drivers\</w:t>
            </w:r>
          </w:p>
          <w:p w14:paraId="14E6B20A"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C:\Windows\system32\</w:t>
            </w:r>
          </w:p>
          <w:p w14:paraId="7148E007"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C:\Windows\</w:t>
            </w:r>
          </w:p>
          <w:p w14:paraId="13C767CE"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C:\Users\Public\Libraries\</w:t>
            </w:r>
          </w:p>
          <w:p w14:paraId="63E5F5AB"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C:\Users\administrator\appdata\local\temp\</w:t>
            </w:r>
          </w:p>
          <w:p w14:paraId="080E84EE"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C:\ssh\</w:t>
            </w:r>
          </w:p>
          <w:p w14:paraId="300E4FD7"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C:\perflogs\admin\servermanager\ssh\</w:t>
            </w:r>
          </w:p>
          <w:p w14:paraId="3019B97B"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C:\perflogs\admin\servermanager\</w:t>
            </w:r>
          </w:p>
          <w:p w14:paraId="65ED7D5F"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C:\perflogs\admin\</w:t>
            </w:r>
          </w:p>
          <w:p w14:paraId="62EF8F9C"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C:\perflogs\</w:t>
            </w:r>
          </w:p>
          <w:p w14:paraId="1B65354E"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C:\cpqsystem\</w:t>
            </w:r>
          </w:p>
          <w:p w14:paraId="14BABED1"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C:\hp\hpdiags\</w:t>
            </w:r>
          </w:p>
          <w:p w14:paraId="5B37045B" w14:textId="77777777" w:rsidR="00DC21F5" w:rsidRPr="00DC21F5" w:rsidRDefault="00DC21F5" w:rsidP="00DC21F5">
            <w:pPr>
              <w:numPr>
                <w:ilvl w:val="0"/>
                <w:numId w:val="7"/>
              </w:numPr>
              <w:ind w:left="1095"/>
              <w:textAlignment w:val="baseline"/>
              <w:rPr>
                <w:rFonts w:ascii="inherit" w:eastAsia="Times New Roman" w:hAnsi="inherit" w:cs="Times New Roman"/>
                <w:color w:val="222222"/>
                <w:sz w:val="21"/>
                <w:szCs w:val="21"/>
              </w:rPr>
            </w:pPr>
            <w:r w:rsidRPr="00DC21F5">
              <w:rPr>
                <w:rFonts w:ascii="inherit" w:eastAsia="Times New Roman" w:hAnsi="inherit" w:cs="Times New Roman"/>
                <w:color w:val="222222"/>
                <w:sz w:val="21"/>
                <w:szCs w:val="21"/>
              </w:rPr>
              <w:t>C:\hp\bin\log\</w:t>
            </w:r>
          </w:p>
        </w:tc>
      </w:tr>
    </w:tbl>
    <w:p w14:paraId="1E75AA06" w14:textId="77777777"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inherit" w:eastAsia="Times New Roman" w:hAnsi="inherit" w:cs="Arial"/>
          <w:color w:val="222222"/>
          <w:sz w:val="17"/>
          <w:szCs w:val="17"/>
          <w:bdr w:val="none" w:sz="0" w:space="0" w:color="auto" w:frame="1"/>
        </w:rPr>
        <w:lastRenderedPageBreak/>
        <w:t>Table 1: TRITON actor methodology and discovery strategies</w:t>
      </w:r>
    </w:p>
    <w:p w14:paraId="2308798E" w14:textId="77777777" w:rsidR="00DC21F5" w:rsidRPr="00DC21F5" w:rsidRDefault="00DC21F5" w:rsidP="00DC21F5">
      <w:pPr>
        <w:shd w:val="clear" w:color="auto" w:fill="FFFFFF"/>
        <w:spacing w:after="195"/>
        <w:textAlignment w:val="baseline"/>
        <w:outlineLvl w:val="3"/>
        <w:rPr>
          <w:rFonts w:ascii="Helvetica" w:eastAsia="Times New Roman" w:hAnsi="Helvetica" w:cs="Arial"/>
          <w:color w:val="44474D"/>
          <w:sz w:val="30"/>
          <w:szCs w:val="30"/>
        </w:rPr>
      </w:pPr>
      <w:r w:rsidRPr="00DC21F5">
        <w:rPr>
          <w:rFonts w:ascii="Helvetica" w:eastAsia="Times New Roman" w:hAnsi="Helvetica" w:cs="Arial"/>
          <w:color w:val="44474D"/>
          <w:sz w:val="30"/>
          <w:szCs w:val="30"/>
        </w:rPr>
        <w:t>Outlook</w:t>
      </w:r>
    </w:p>
    <w:p w14:paraId="172BFA1B"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There is often a singular focus from the security community on ICS malware largely due to its novel nature and the fact that there are very few examples found in the wild. While this attention is useful for a variety of reasons, we argue that defenders and incident responders should focus more attention on so-called "conduit" systems when trying to identify or stop ICS-focused intrusions.</w:t>
      </w:r>
    </w:p>
    <w:p w14:paraId="0D269628" w14:textId="77777777" w:rsidR="00DC21F5" w:rsidRPr="00DC21F5" w:rsidRDefault="00DC21F5" w:rsidP="00DC21F5">
      <w:pPr>
        <w:shd w:val="clear" w:color="auto" w:fill="FFFFFF"/>
        <w:spacing w:after="225"/>
        <w:textAlignment w:val="baseline"/>
        <w:rPr>
          <w:rFonts w:ascii="Helvetica" w:eastAsia="Times New Roman" w:hAnsi="Helvetica" w:cs="Arial"/>
          <w:color w:val="222222"/>
          <w:sz w:val="21"/>
          <w:szCs w:val="21"/>
        </w:rPr>
      </w:pPr>
      <w:proofErr w:type="gramStart"/>
      <w:r w:rsidRPr="00DC21F5">
        <w:rPr>
          <w:rFonts w:ascii="Helvetica" w:eastAsia="Times New Roman" w:hAnsi="Helvetica" w:cs="Arial"/>
          <w:color w:val="222222"/>
          <w:sz w:val="21"/>
          <w:szCs w:val="21"/>
        </w:rPr>
        <w:t>In an attempt to</w:t>
      </w:r>
      <w:proofErr w:type="gramEnd"/>
      <w:r w:rsidRPr="00DC21F5">
        <w:rPr>
          <w:rFonts w:ascii="Helvetica" w:eastAsia="Times New Roman" w:hAnsi="Helvetica" w:cs="Arial"/>
          <w:color w:val="222222"/>
          <w:sz w:val="21"/>
          <w:szCs w:val="21"/>
        </w:rPr>
        <w:t xml:space="preserve"> raise community awareness surrounding this actor’s capabilities and activities between 2014 and 2017—an effort compounded in importance by our discovery of the threat actor in a second critical infrastructure facility—we have shared a sampling of what we know about the group's TTPs and custom tooling. We encourage ICS asset owners to leverage the detection rules and other information included in this report to hunt for related activity as we believe there is a good chance the threat actor was or is present in other target networks.</w:t>
      </w:r>
    </w:p>
    <w:p w14:paraId="1C5B46CA" w14:textId="77777777"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For IT and OT incident response support, please contact </w:t>
      </w:r>
      <w:hyperlink r:id="rId33" w:history="1">
        <w:r w:rsidRPr="00DC21F5">
          <w:rPr>
            <w:rFonts w:ascii="inherit" w:eastAsia="Times New Roman" w:hAnsi="inherit" w:cs="Arial"/>
            <w:color w:val="2E5799"/>
            <w:sz w:val="21"/>
            <w:szCs w:val="21"/>
            <w:bdr w:val="none" w:sz="0" w:space="0" w:color="auto" w:frame="1"/>
          </w:rPr>
          <w:t>FireEye Mandiant</w:t>
        </w:r>
      </w:hyperlink>
      <w:r w:rsidRPr="00DC21F5">
        <w:rPr>
          <w:rFonts w:ascii="Helvetica" w:eastAsia="Times New Roman" w:hAnsi="Helvetica" w:cs="Arial"/>
          <w:color w:val="222222"/>
          <w:sz w:val="21"/>
          <w:szCs w:val="21"/>
        </w:rPr>
        <w:t>. For more in-depth analysis of TRITON and other cyber threats, consider subscribing to </w:t>
      </w:r>
      <w:hyperlink r:id="rId34" w:history="1">
        <w:r w:rsidRPr="00DC21F5">
          <w:rPr>
            <w:rFonts w:ascii="inherit" w:eastAsia="Times New Roman" w:hAnsi="inherit" w:cs="Arial"/>
            <w:color w:val="2E5799"/>
            <w:sz w:val="21"/>
            <w:szCs w:val="21"/>
            <w:bdr w:val="none" w:sz="0" w:space="0" w:color="auto" w:frame="1"/>
          </w:rPr>
          <w:t>FireEye Cyber Threat Intelligence</w:t>
        </w:r>
      </w:hyperlink>
      <w:r w:rsidRPr="00DC21F5">
        <w:rPr>
          <w:rFonts w:ascii="Helvetica" w:eastAsia="Times New Roman" w:hAnsi="Helvetica" w:cs="Arial"/>
          <w:color w:val="222222"/>
          <w:sz w:val="21"/>
          <w:szCs w:val="21"/>
        </w:rPr>
        <w:t>.</w:t>
      </w:r>
    </w:p>
    <w:p w14:paraId="74B76715" w14:textId="77777777"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Helvetica" w:eastAsia="Times New Roman" w:hAnsi="Helvetica" w:cs="Arial"/>
          <w:color w:val="222222"/>
          <w:sz w:val="21"/>
          <w:szCs w:val="21"/>
        </w:rPr>
        <w:t>FireEye’s </w:t>
      </w:r>
      <w:proofErr w:type="spellStart"/>
      <w:r w:rsidRPr="00DC21F5">
        <w:rPr>
          <w:rFonts w:ascii="Helvetica" w:eastAsia="Times New Roman" w:hAnsi="Helvetica" w:cs="Arial"/>
          <w:color w:val="222222"/>
          <w:sz w:val="21"/>
          <w:szCs w:val="21"/>
        </w:rPr>
        <w:fldChar w:fldCharType="begin"/>
      </w:r>
      <w:r w:rsidRPr="00DC21F5">
        <w:rPr>
          <w:rFonts w:ascii="Helvetica" w:eastAsia="Times New Roman" w:hAnsi="Helvetica" w:cs="Arial"/>
          <w:color w:val="222222"/>
          <w:sz w:val="21"/>
          <w:szCs w:val="21"/>
        </w:rPr>
        <w:instrText xml:space="preserve"> HYPERLINK "https://www.fireeye.com/company/press-releases/2018/fireeye-unveils-smartvision-edition-to-detect-stealthy--maliciou.html" </w:instrText>
      </w:r>
      <w:r w:rsidRPr="00DC21F5">
        <w:rPr>
          <w:rFonts w:ascii="Helvetica" w:eastAsia="Times New Roman" w:hAnsi="Helvetica" w:cs="Arial"/>
          <w:color w:val="222222"/>
          <w:sz w:val="21"/>
          <w:szCs w:val="21"/>
        </w:rPr>
        <w:fldChar w:fldCharType="separate"/>
      </w:r>
      <w:r w:rsidRPr="00DC21F5">
        <w:rPr>
          <w:rFonts w:ascii="inherit" w:eastAsia="Times New Roman" w:hAnsi="inherit" w:cs="Arial"/>
          <w:color w:val="2E5799"/>
          <w:sz w:val="21"/>
          <w:szCs w:val="21"/>
          <w:bdr w:val="none" w:sz="0" w:space="0" w:color="auto" w:frame="1"/>
        </w:rPr>
        <w:t>SmartVision</w:t>
      </w:r>
      <w:proofErr w:type="spellEnd"/>
      <w:r w:rsidRPr="00DC21F5">
        <w:rPr>
          <w:rFonts w:ascii="Helvetica" w:eastAsia="Times New Roman" w:hAnsi="Helvetica" w:cs="Arial"/>
          <w:color w:val="222222"/>
          <w:sz w:val="21"/>
          <w:szCs w:val="21"/>
        </w:rPr>
        <w:fldChar w:fldCharType="end"/>
      </w:r>
      <w:r w:rsidRPr="00DC21F5">
        <w:rPr>
          <w:rFonts w:ascii="Helvetica" w:eastAsia="Times New Roman" w:hAnsi="Helvetica" w:cs="Arial"/>
          <w:color w:val="222222"/>
          <w:sz w:val="21"/>
          <w:szCs w:val="21"/>
        </w:rPr>
        <w:t> technology, which searches for attackers during lateral movement activities by monitoring east-west traffic in IT and OT networks, reduces the risk of an attack reaching sensitive ICS processes. This is particularly relevant for sophisticated ICS-related intrusions as attackers typically move from corporate IT to OT networks through systems that were accessible to both environments, far beyond perimeter defenses.</w:t>
      </w:r>
    </w:p>
    <w:p w14:paraId="3AFA7735" w14:textId="77777777" w:rsidR="00DC21F5" w:rsidRPr="00DC21F5" w:rsidRDefault="00DC21F5" w:rsidP="00DC21F5">
      <w:pPr>
        <w:shd w:val="clear" w:color="auto" w:fill="FFFFFF"/>
        <w:spacing w:after="195"/>
        <w:textAlignment w:val="baseline"/>
        <w:outlineLvl w:val="3"/>
        <w:rPr>
          <w:rFonts w:ascii="Helvetica" w:eastAsia="Times New Roman" w:hAnsi="Helvetica" w:cs="Arial"/>
          <w:color w:val="44474D"/>
          <w:sz w:val="30"/>
          <w:szCs w:val="30"/>
        </w:rPr>
      </w:pPr>
      <w:r w:rsidRPr="00DC21F5">
        <w:rPr>
          <w:rFonts w:ascii="Helvetica" w:eastAsia="Times New Roman" w:hAnsi="Helvetica" w:cs="Arial"/>
          <w:color w:val="44474D"/>
          <w:sz w:val="30"/>
          <w:szCs w:val="30"/>
        </w:rPr>
        <w:t>Appendices</w:t>
      </w:r>
    </w:p>
    <w:p w14:paraId="35BBF95B" w14:textId="77777777" w:rsidR="00DC21F5" w:rsidRPr="00DC21F5" w:rsidRDefault="00DC21F5" w:rsidP="00DC21F5">
      <w:pPr>
        <w:numPr>
          <w:ilvl w:val="0"/>
          <w:numId w:val="8"/>
        </w:numPr>
        <w:shd w:val="clear" w:color="auto" w:fill="FFFFFF"/>
        <w:ind w:left="1095"/>
        <w:textAlignment w:val="baseline"/>
        <w:rPr>
          <w:rFonts w:ascii="inherit" w:eastAsia="Times New Roman" w:hAnsi="inherit" w:cs="Arial"/>
          <w:color w:val="222222"/>
          <w:sz w:val="21"/>
          <w:szCs w:val="21"/>
        </w:rPr>
      </w:pPr>
      <w:hyperlink r:id="rId35" w:history="1">
        <w:r w:rsidRPr="00DC21F5">
          <w:rPr>
            <w:rFonts w:ascii="inherit" w:eastAsia="Times New Roman" w:hAnsi="inherit" w:cs="Arial"/>
            <w:color w:val="2E5799"/>
            <w:sz w:val="21"/>
            <w:szCs w:val="21"/>
            <w:bdr w:val="none" w:sz="0" w:space="0" w:color="auto" w:frame="1"/>
          </w:rPr>
          <w:t>Appendix A: Discovery Rules</w:t>
        </w:r>
      </w:hyperlink>
    </w:p>
    <w:p w14:paraId="0759EE61" w14:textId="77777777" w:rsidR="00DC21F5" w:rsidRPr="00DC21F5" w:rsidRDefault="00DC21F5" w:rsidP="00DC21F5">
      <w:pPr>
        <w:numPr>
          <w:ilvl w:val="0"/>
          <w:numId w:val="8"/>
        </w:numPr>
        <w:shd w:val="clear" w:color="auto" w:fill="FFFFFF"/>
        <w:ind w:left="1095"/>
        <w:textAlignment w:val="baseline"/>
        <w:rPr>
          <w:rFonts w:ascii="inherit" w:eastAsia="Times New Roman" w:hAnsi="inherit" w:cs="Arial"/>
          <w:color w:val="222222"/>
          <w:sz w:val="21"/>
          <w:szCs w:val="21"/>
        </w:rPr>
      </w:pPr>
      <w:hyperlink r:id="rId36" w:history="1">
        <w:r w:rsidRPr="00DC21F5">
          <w:rPr>
            <w:rFonts w:ascii="inherit" w:eastAsia="Times New Roman" w:hAnsi="inherit" w:cs="Arial"/>
            <w:color w:val="2E5799"/>
            <w:sz w:val="21"/>
            <w:szCs w:val="21"/>
            <w:bdr w:val="none" w:sz="0" w:space="0" w:color="auto" w:frame="1"/>
          </w:rPr>
          <w:t>Appendix B: Technical Analysis of Custom Attack Tools</w:t>
        </w:r>
      </w:hyperlink>
    </w:p>
    <w:p w14:paraId="201ABC4F" w14:textId="77777777" w:rsidR="00DC21F5" w:rsidRPr="00DC21F5" w:rsidRDefault="00DC21F5" w:rsidP="00DC21F5">
      <w:pPr>
        <w:numPr>
          <w:ilvl w:val="0"/>
          <w:numId w:val="8"/>
        </w:numPr>
        <w:shd w:val="clear" w:color="auto" w:fill="FFFFFF"/>
        <w:ind w:left="1095"/>
        <w:textAlignment w:val="baseline"/>
        <w:rPr>
          <w:rFonts w:ascii="inherit" w:eastAsia="Times New Roman" w:hAnsi="inherit" w:cs="Arial"/>
          <w:color w:val="222222"/>
          <w:sz w:val="21"/>
          <w:szCs w:val="21"/>
        </w:rPr>
      </w:pPr>
      <w:hyperlink r:id="rId37" w:history="1">
        <w:r w:rsidRPr="00DC21F5">
          <w:rPr>
            <w:rFonts w:ascii="inherit" w:eastAsia="Times New Roman" w:hAnsi="inherit" w:cs="Arial"/>
            <w:color w:val="2E5799"/>
            <w:sz w:val="21"/>
            <w:szCs w:val="21"/>
            <w:bdr w:val="none" w:sz="0" w:space="0" w:color="auto" w:frame="1"/>
          </w:rPr>
          <w:t>Appendix C: MITRE ATT&amp;CK JSON Raw Data</w:t>
        </w:r>
      </w:hyperlink>
    </w:p>
    <w:p w14:paraId="3CB6D799" w14:textId="77777777" w:rsidR="00DC21F5" w:rsidRPr="00DC21F5" w:rsidRDefault="00DC21F5" w:rsidP="00DC21F5">
      <w:pPr>
        <w:shd w:val="clear" w:color="auto" w:fill="FFFFFF"/>
        <w:textAlignment w:val="baseline"/>
        <w:outlineLvl w:val="3"/>
        <w:rPr>
          <w:rFonts w:ascii="Helvetica" w:eastAsia="Times New Roman" w:hAnsi="Helvetica" w:cs="Arial"/>
          <w:color w:val="44474D"/>
          <w:sz w:val="30"/>
          <w:szCs w:val="30"/>
        </w:rPr>
      </w:pPr>
      <w:r w:rsidRPr="00DC21F5">
        <w:rPr>
          <w:rFonts w:ascii="Helvetica" w:eastAsia="Times New Roman" w:hAnsi="Helvetica" w:cs="Arial"/>
          <w:color w:val="44474D"/>
          <w:sz w:val="30"/>
          <w:szCs w:val="30"/>
        </w:rPr>
        <w:t>Indicators of Compromise</w:t>
      </w:r>
    </w:p>
    <w:tbl>
      <w:tblPr>
        <w:tblW w:w="9990" w:type="dxa"/>
        <w:tblCellMar>
          <w:left w:w="0" w:type="dxa"/>
          <w:right w:w="0" w:type="dxa"/>
        </w:tblCellMar>
        <w:tblLook w:val="04A0" w:firstRow="1" w:lastRow="0" w:firstColumn="1" w:lastColumn="0" w:noHBand="0" w:noVBand="1"/>
      </w:tblPr>
      <w:tblGrid>
        <w:gridCol w:w="2621"/>
        <w:gridCol w:w="8532"/>
      </w:tblGrid>
      <w:tr w:rsidR="00DC21F5" w:rsidRPr="00DC21F5" w14:paraId="3ED38655"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79EB90" w14:textId="77777777" w:rsidR="00DC21F5" w:rsidRPr="00DC21F5" w:rsidRDefault="00DC21F5" w:rsidP="00DC21F5">
            <w:pPr>
              <w:textAlignment w:val="baseline"/>
              <w:rPr>
                <w:rFonts w:ascii="Helvetica" w:eastAsia="Times New Roman" w:hAnsi="Helvetica" w:cs="Times New Roman"/>
                <w:color w:val="222222"/>
                <w:sz w:val="21"/>
                <w:szCs w:val="21"/>
              </w:rPr>
            </w:pPr>
            <w:r w:rsidRPr="00DC21F5">
              <w:rPr>
                <w:rFonts w:ascii="inherit" w:eastAsia="Times New Roman" w:hAnsi="inherit" w:cs="Times New Roman"/>
                <w:color w:val="222222"/>
                <w:sz w:val="21"/>
                <w:szCs w:val="21"/>
                <w:u w:val="single"/>
                <w:bdr w:val="none" w:sz="0" w:space="0" w:color="auto" w:frame="1"/>
              </w:rPr>
              <w:t>Filename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4ECB21" w14:textId="77777777" w:rsidR="00DC21F5" w:rsidRPr="00DC21F5" w:rsidRDefault="00DC21F5" w:rsidP="00DC21F5">
            <w:pPr>
              <w:textAlignment w:val="baseline"/>
              <w:rPr>
                <w:rFonts w:ascii="Helvetica" w:eastAsia="Times New Roman" w:hAnsi="Helvetica" w:cs="Times New Roman"/>
                <w:color w:val="222222"/>
                <w:sz w:val="21"/>
                <w:szCs w:val="21"/>
              </w:rPr>
            </w:pPr>
            <w:r w:rsidRPr="00DC21F5">
              <w:rPr>
                <w:rFonts w:ascii="inherit" w:eastAsia="Times New Roman" w:hAnsi="inherit" w:cs="Times New Roman"/>
                <w:color w:val="222222"/>
                <w:sz w:val="21"/>
                <w:szCs w:val="21"/>
                <w:u w:val="single"/>
                <w:bdr w:val="none" w:sz="0" w:space="0" w:color="auto" w:frame="1"/>
              </w:rPr>
              <w:t>Hash</w:t>
            </w:r>
          </w:p>
        </w:tc>
      </w:tr>
      <w:tr w:rsidR="00DC21F5" w:rsidRPr="00DC21F5" w14:paraId="1EB177A3"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D54072"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KB77846376.exe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163FE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47f9cc543905a69a423f9110ae7deffb</w:t>
            </w:r>
          </w:p>
          <w:p w14:paraId="6B9DC59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87648aad45d9142d1d825d728b7aa098f92aea38698209d038ba58b7385f8df6</w:t>
            </w:r>
          </w:p>
        </w:tc>
      </w:tr>
      <w:tr w:rsidR="00DC21F5" w:rsidRPr="00DC21F5" w14:paraId="2B726816"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477CF6"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lastRenderedPageBreak/>
              <w:t>KB77846376.exe.x64</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91AD8D"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ee477fdee8b6ad4fe778a6fa4058f9aa</w:t>
            </w:r>
          </w:p>
          <w:p w14:paraId="7DBBDF4C"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2141b526a81bb87b964880e69933aad3932131ccccee5949d2a16c1e124ccdbb</w:t>
            </w:r>
          </w:p>
        </w:tc>
      </w:tr>
      <w:tr w:rsidR="00DC21F5" w:rsidRPr="00DC21F5" w14:paraId="52C63BC9"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0FE909"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Netexec.exe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6BDE55"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aca94bb7bdfb735f267f083e28f4db37</w:t>
            </w:r>
          </w:p>
          <w:p w14:paraId="453D111C"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c55e63f8a3b328c3ba77cebf821bdc5243b15a0298057e75f7605d0922c8d7cd</w:t>
            </w:r>
          </w:p>
        </w:tc>
      </w:tr>
      <w:tr w:rsidR="00DC21F5" w:rsidRPr="00DC21F5" w14:paraId="4CD41ED3"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F06071"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runsvc.exe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B0A166"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1904cad4927541e47d453becbd934bf0</w:t>
            </w:r>
          </w:p>
          <w:p w14:paraId="542C916F"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70efbd074326e7bbd4e851ded5c362fe5fe06282ed4bbb4b9f761f1b12ee32f7</w:t>
            </w:r>
          </w:p>
        </w:tc>
      </w:tr>
      <w:tr w:rsidR="00DC21F5" w:rsidRPr="00DC21F5" w14:paraId="4DA5C287"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AF53C8"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svchostpla.exe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2DCBF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121772100e46dde2d6317b08c7a59e13</w:t>
            </w:r>
          </w:p>
          <w:p w14:paraId="34F59D71"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910b26c942c0cff8b1f5a57e1521801bfd54c8cbcfd23d3d11ea9fe27ca4a0e9</w:t>
            </w:r>
          </w:p>
        </w:tc>
      </w:tr>
      <w:tr w:rsidR="00DC21F5" w:rsidRPr="00DC21F5" w14:paraId="7BDAEF44"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24A402"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compattelprerunner.exe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B4E14D"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35f443608fc4eeb78f9347a9dfc5aea1</w:t>
            </w:r>
          </w:p>
          <w:p w14:paraId="71343B7C"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1330594c2685fe6fc2c87439ef151dfacabc78402379a73be39953048b144960</w:t>
            </w:r>
          </w:p>
        </w:tc>
      </w:tr>
      <w:tr w:rsidR="00DC21F5" w:rsidRPr="00DC21F5" w14:paraId="367FB1B9"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1A0136"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compattelprerunner.exe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AD31B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10fd713eb3bc6a8f7abd7030104d0ce7</w:t>
            </w:r>
          </w:p>
          <w:p w14:paraId="3057E1D7"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6ab948ec61f1f7e04119da85d5263d428a1de070edad3a4e796bada2ab05cea7</w:t>
            </w:r>
          </w:p>
        </w:tc>
      </w:tr>
      <w:tr w:rsidR="00DC21F5" w:rsidRPr="00DC21F5" w14:paraId="7927865B"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D1DE06"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compattelprerunner.exe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3F6187"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648223034bda28c415a8deeb74dcb3ef</w:t>
            </w:r>
          </w:p>
          <w:p w14:paraId="238D274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4c2383c8650112e00cb8b52d0faac7b98207073db081dbdcbb278f0470b869a1</w:t>
            </w:r>
          </w:p>
        </w:tc>
      </w:tr>
      <w:tr w:rsidR="00DC21F5" w:rsidRPr="00DC21F5" w14:paraId="2DA6E557"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5A5587"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ProgramDataUpdater.xml</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9021A4"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c744006ebaaf25cd7fad0ebba56e4f84</w:t>
            </w:r>
          </w:p>
          <w:p w14:paraId="2467655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6d2d9623762f822949eef80b02f4ba2d26227eb23ad5b8d1a0a3d6da3bc60d6c</w:t>
            </w:r>
          </w:p>
        </w:tc>
      </w:tr>
      <w:tr w:rsidR="00DC21F5" w:rsidRPr="00DC21F5" w14:paraId="47D0486D"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B8F951"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napupdatedb.exe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4199E7"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ba51f25db03a66c658d1fd4396f32843</w:t>
            </w:r>
          </w:p>
          <w:p w14:paraId="3CBA07F6"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0fc391cdef0705f032109e16f8f591e1e6f8ffccbc46f4eb4a8fa058047c0adc</w:t>
            </w:r>
          </w:p>
        </w:tc>
      </w:tr>
      <w:tr w:rsidR="00DC21F5" w:rsidRPr="00DC21F5" w14:paraId="0B438299"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775232"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alg.exe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98FE6A"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af5b9c9e4c6bfc6cb7fa5e4b04da8dc8</w:t>
            </w:r>
          </w:p>
          <w:p w14:paraId="1064EF78"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970fab66733ba594b435cf345c72814ee5f8443c44d28ef251f768ad66a6c052</w:t>
            </w:r>
          </w:p>
        </w:tc>
      </w:tr>
      <w:tr w:rsidR="00DC21F5" w:rsidRPr="00DC21F5" w14:paraId="256CA10E"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F5DD4E"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userinit.exe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37DC3D"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2d11be6755b80cfca5c2f5138881ff25</w:t>
            </w:r>
          </w:p>
          <w:p w14:paraId="7009075E"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lastRenderedPageBreak/>
              <w:t>SHA256: fc5b4c61f66beb58a62636ab7c198e6ab7f38ce201f098f2818a5699b8aa1138</w:t>
            </w:r>
          </w:p>
        </w:tc>
      </w:tr>
      <w:tr w:rsidR="00DC21F5" w:rsidRPr="00DC21F5" w14:paraId="13F831E7"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6B4BF5"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lastRenderedPageBreak/>
              <w:t>csrss.exe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4DE6D8"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de2e1d59c81a2798a239baaa1edc0dd8</w:t>
            </w:r>
          </w:p>
          <w:p w14:paraId="059DDB71"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1848d26e47ee4937ef02e67a447b4054d66f4d659f1fbd8bda1482dc4f02c7c4</w:t>
            </w:r>
          </w:p>
        </w:tc>
      </w:tr>
      <w:tr w:rsidR="00DC21F5" w:rsidRPr="00DC21F5" w14:paraId="076643D6"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9F3912"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tquery.dll</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5D2C52"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31cd0738ec2e40ff086dfd84ac2510fb</w:t>
            </w:r>
          </w:p>
          <w:p w14:paraId="577A3C4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98da0ce88de897e1b08733ac771edab5e5b2a2dda8aab0e73c1d41bade275ff6</w:t>
            </w:r>
          </w:p>
        </w:tc>
      </w:tr>
      <w:tr w:rsidR="00DC21F5" w:rsidRPr="00DC21F5" w14:paraId="784F06A1"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45216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txflog.dll</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1EB917"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8db693f75a0cfe043a5810f799654cf9</w:t>
            </w:r>
          </w:p>
          <w:p w14:paraId="71AF975F"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f0dcbc83d911c382da7ba06a027bdd5861d1a9b723ebe5d9d6f6b79d7b70f29d</w:t>
            </w:r>
          </w:p>
        </w:tc>
      </w:tr>
      <w:tr w:rsidR="00DC21F5" w:rsidRPr="00DC21F5" w14:paraId="30243610"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BE36B8"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cryptopp.dll</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45D76F"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9a7234078559093e06c9d32148ed95a3</w:t>
            </w:r>
          </w:p>
          <w:p w14:paraId="186685B5"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32f5d0a454c26e8aa6f4cad58f3782337cc97cfe2305bbfe564437e5f0d51bbc</w:t>
            </w:r>
          </w:p>
        </w:tc>
      </w:tr>
      <w:tr w:rsidR="00DC21F5" w:rsidRPr="00DC21F5" w14:paraId="4ED4B98F"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3ADE5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DEFAULT</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70002E"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30a9ee20052fcc34dee6b09f9210d4ed</w:t>
            </w:r>
          </w:p>
          <w:p w14:paraId="34C39916"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f7bdddbeae239305ccca3b7eb1019b713bd0f7f060976494e810917a1e6ad5ee</w:t>
            </w:r>
          </w:p>
        </w:tc>
      </w:tr>
      <w:tr w:rsidR="00DC21F5" w:rsidRPr="00DC21F5" w14:paraId="5F9E3C51"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DF714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DEFAULT.BAK</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0876FA"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519098f3970d57b8429a9f6baeaf0f8c</w:t>
            </w:r>
          </w:p>
          <w:p w14:paraId="53C8F65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1f1902e4482527824ef2c0c2039162db85e5a671caf0767a695116b03cfc866d</w:t>
            </w:r>
          </w:p>
        </w:tc>
      </w:tr>
      <w:tr w:rsidR="00DC21F5" w:rsidRPr="00DC21F5" w14:paraId="2059B9D2"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7CE6C9"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spl32.exe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AE946B"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62831f960fe764f090d1201033202438</w:t>
            </w:r>
          </w:p>
          <w:p w14:paraId="0280C031"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1d359163b6bd882ae4c26854d69745136a23f3abb7c96341f6d17e18a546a5fd</w:t>
            </w:r>
          </w:p>
        </w:tc>
      </w:tr>
      <w:tr w:rsidR="00DC21F5" w:rsidRPr="00DC21F5" w14:paraId="14D9CC20"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3A729A"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WinSAT.exe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4B4919"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685776e0020ad9bfc4e2f4f7c7a9c623</w:t>
            </w:r>
          </w:p>
          <w:p w14:paraId="0140250B"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3b6fd091b956b17476990c6ca77dd8f77d203d3170745d1b7c7894bfcf629b86</w:t>
            </w:r>
          </w:p>
        </w:tc>
      </w:tr>
      <w:tr w:rsidR="00DC21F5" w:rsidRPr="00DC21F5" w14:paraId="5B4461C8"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7892CA"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csrss.exe</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A3FFF9"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d05702c4c3924b08bac5079add4e2347</w:t>
            </w:r>
          </w:p>
          <w:p w14:paraId="3C9FD89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720ef3d5b5416974376ca4ea8bd536e9eeb608f89e3b5b264e197266be8a9f4e</w:t>
            </w:r>
          </w:p>
        </w:tc>
      </w:tr>
      <w:tr w:rsidR="00DC21F5" w:rsidRPr="00DC21F5" w14:paraId="2D690462"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68227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clusapi.dll</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FE8C16"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f985fd0d36ab79bfccfaed6d64c5fc23</w:t>
            </w:r>
          </w:p>
          <w:p w14:paraId="725120EC"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084c21e75fbfa5056fec913c237ce7fba314f88fbd687e8dcb1e777003f79b0e</w:t>
            </w:r>
          </w:p>
        </w:tc>
      </w:tr>
      <w:tr w:rsidR="00DC21F5" w:rsidRPr="00DC21F5" w14:paraId="648BD992"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D9E6D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lastRenderedPageBreak/>
              <w:t>PolicMan.dll</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7890C8"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6fbeb6a9f990402bf6f056c892fefcc6</w:t>
            </w:r>
          </w:p>
          <w:p w14:paraId="56570C9D"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9224c2b00e94e5c57d63820aebe613843b5c851a027488148308fac2d02206f0</w:t>
            </w:r>
          </w:p>
        </w:tc>
      </w:tr>
      <w:tr w:rsidR="00DC21F5" w:rsidRPr="00DC21F5" w14:paraId="6609D7E5"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269D8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verifier2.dll</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75A4E0"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6f8b33cb1d101c6bf0e9aeaf29b7e72d</w:t>
            </w:r>
          </w:p>
          <w:p w14:paraId="1442E9A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7633b4178611e28aedfa365a0de8ebe5f41ae8eeee71322f04d0e30e50ba2914</w:t>
            </w:r>
          </w:p>
        </w:tc>
      </w:tr>
      <w:tr w:rsidR="00DC21F5" w:rsidRPr="00DC21F5" w14:paraId="4E2559DE"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AC698C"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proofErr w:type="spellStart"/>
            <w:r w:rsidRPr="00DC21F5">
              <w:rPr>
                <w:rFonts w:ascii="Helvetica" w:eastAsia="Times New Roman" w:hAnsi="Helvetica" w:cs="Times New Roman"/>
                <w:color w:val="222222"/>
                <w:sz w:val="21"/>
                <w:szCs w:val="21"/>
              </w:rPr>
              <w:t>misc.mof</w:t>
            </w:r>
            <w:proofErr w:type="spellEnd"/>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59F547"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5efbd51044fb90c6231438c51d83037f</w:t>
            </w:r>
          </w:p>
          <w:p w14:paraId="55238154"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7bcca38e43f3b37b1acea05899a7c11dfb62de64531bd48af992d5e400a1755f</w:t>
            </w:r>
          </w:p>
        </w:tc>
      </w:tr>
      <w:tr w:rsidR="00DC21F5" w:rsidRPr="00DC21F5" w14:paraId="22B4919D"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F57823"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logoff.aspx</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0E8C11"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915efc70a812c1cb35b29ba0ecb7c48d</w:t>
            </w:r>
          </w:p>
          <w:p w14:paraId="2E20283E"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0da4c0b83fa1ad4af9aad6c42feecc6c21c3fd0e660b9e5b3857ddeae3473d54</w:t>
            </w:r>
          </w:p>
        </w:tc>
      </w:tr>
      <w:tr w:rsidR="00DC21F5" w:rsidRPr="00DC21F5" w14:paraId="5B021AE4" w14:textId="77777777" w:rsidTr="00DC21F5">
        <w:tc>
          <w:tcPr>
            <w:tcW w:w="28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430BA1"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flogon.js</w:t>
            </w:r>
          </w:p>
        </w:tc>
        <w:tc>
          <w:tcPr>
            <w:tcW w:w="63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21DFEE"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MD5: 0f144e79ea8d8b66fa973e0568415501</w:t>
            </w:r>
          </w:p>
          <w:p w14:paraId="7D986907" w14:textId="77777777" w:rsidR="00DC21F5" w:rsidRPr="00DC21F5" w:rsidRDefault="00DC21F5" w:rsidP="00DC21F5">
            <w:pPr>
              <w:spacing w:after="225"/>
              <w:textAlignment w:val="baseline"/>
              <w:rPr>
                <w:rFonts w:ascii="Helvetica" w:eastAsia="Times New Roman" w:hAnsi="Helvetica" w:cs="Times New Roman"/>
                <w:color w:val="222222"/>
                <w:sz w:val="21"/>
                <w:szCs w:val="21"/>
              </w:rPr>
            </w:pPr>
            <w:r w:rsidRPr="00DC21F5">
              <w:rPr>
                <w:rFonts w:ascii="Helvetica" w:eastAsia="Times New Roman" w:hAnsi="Helvetica" w:cs="Times New Roman"/>
                <w:color w:val="222222"/>
                <w:sz w:val="21"/>
                <w:szCs w:val="21"/>
              </w:rPr>
              <w:t>SHA256: f81aa77d23ca6662efb3e6e33538a60e39abb5ca66102e07ffa318a6d6cd78ec </w:t>
            </w:r>
          </w:p>
        </w:tc>
      </w:tr>
    </w:tbl>
    <w:p w14:paraId="7ACE85A6" w14:textId="77777777" w:rsidR="00DC21F5" w:rsidRPr="00DC21F5" w:rsidRDefault="00DC21F5" w:rsidP="00DC21F5">
      <w:pPr>
        <w:shd w:val="clear" w:color="auto" w:fill="FFFFFF"/>
        <w:textAlignment w:val="baseline"/>
        <w:rPr>
          <w:rFonts w:ascii="Helvetica" w:eastAsia="Times New Roman" w:hAnsi="Helvetica" w:cs="Arial"/>
          <w:color w:val="222222"/>
          <w:sz w:val="21"/>
          <w:szCs w:val="21"/>
        </w:rPr>
      </w:pPr>
      <w:r w:rsidRPr="00DC21F5">
        <w:rPr>
          <w:rFonts w:ascii="inherit" w:eastAsia="Times New Roman" w:hAnsi="inherit" w:cs="Arial"/>
          <w:color w:val="222222"/>
          <w:sz w:val="17"/>
          <w:szCs w:val="17"/>
          <w:bdr w:val="none" w:sz="0" w:space="0" w:color="auto" w:frame="1"/>
        </w:rPr>
        <w:t>Table 2: Indicators of compromise</w:t>
      </w:r>
    </w:p>
    <w:p w14:paraId="71FF6A24" w14:textId="77777777" w:rsidR="00214751" w:rsidRDefault="00DC21F5"/>
    <w:sectPr w:rsidR="0021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A84"/>
    <w:multiLevelType w:val="multilevel"/>
    <w:tmpl w:val="1CC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46A7B"/>
    <w:multiLevelType w:val="multilevel"/>
    <w:tmpl w:val="A270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85869"/>
    <w:multiLevelType w:val="multilevel"/>
    <w:tmpl w:val="187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5767A"/>
    <w:multiLevelType w:val="multilevel"/>
    <w:tmpl w:val="129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E0A6C"/>
    <w:multiLevelType w:val="multilevel"/>
    <w:tmpl w:val="F832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F182B"/>
    <w:multiLevelType w:val="multilevel"/>
    <w:tmpl w:val="99E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64433"/>
    <w:multiLevelType w:val="multilevel"/>
    <w:tmpl w:val="4166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361C36"/>
    <w:multiLevelType w:val="multilevel"/>
    <w:tmpl w:val="E49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3"/>
  </w:num>
  <w:num w:numId="4">
    <w:abstractNumId w:val="7"/>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F5"/>
    <w:rsid w:val="00165D3B"/>
    <w:rsid w:val="007E4FFA"/>
    <w:rsid w:val="00DC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0361C"/>
  <w15:chartTrackingRefBased/>
  <w15:docId w15:val="{FBE637E5-9F6D-5048-B32D-46631289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21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C21F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1F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C21F5"/>
    <w:rPr>
      <w:rFonts w:ascii="Times New Roman" w:eastAsia="Times New Roman" w:hAnsi="Times New Roman" w:cs="Times New Roman"/>
      <w:b/>
      <w:bCs/>
    </w:rPr>
  </w:style>
  <w:style w:type="character" w:customStyle="1" w:styleId="sep">
    <w:name w:val="sep"/>
    <w:basedOn w:val="DefaultParagraphFont"/>
    <w:rsid w:val="00DC21F5"/>
  </w:style>
  <w:style w:type="character" w:customStyle="1" w:styleId="by-author">
    <w:name w:val="by-author"/>
    <w:basedOn w:val="DefaultParagraphFont"/>
    <w:rsid w:val="00DC21F5"/>
  </w:style>
  <w:style w:type="character" w:styleId="Hyperlink">
    <w:name w:val="Hyperlink"/>
    <w:basedOn w:val="DefaultParagraphFont"/>
    <w:uiPriority w:val="99"/>
    <w:semiHidden/>
    <w:unhideWhenUsed/>
    <w:rsid w:val="00DC21F5"/>
    <w:rPr>
      <w:color w:val="0000FF"/>
      <w:u w:val="single"/>
    </w:rPr>
  </w:style>
  <w:style w:type="character" w:customStyle="1" w:styleId="tagbutton">
    <w:name w:val="tagbutton"/>
    <w:basedOn w:val="DefaultParagraphFont"/>
    <w:rsid w:val="00DC21F5"/>
  </w:style>
  <w:style w:type="paragraph" w:styleId="NormalWeb">
    <w:name w:val="Normal (Web)"/>
    <w:basedOn w:val="Normal"/>
    <w:uiPriority w:val="99"/>
    <w:semiHidden/>
    <w:unhideWhenUsed/>
    <w:rsid w:val="00DC21F5"/>
    <w:pPr>
      <w:spacing w:before="100" w:beforeAutospacing="1" w:after="100" w:afterAutospacing="1"/>
    </w:pPr>
    <w:rPr>
      <w:rFonts w:ascii="Times New Roman" w:eastAsia="Times New Roman" w:hAnsi="Times New Roman" w:cs="Times New Roman"/>
    </w:rPr>
  </w:style>
  <w:style w:type="character" w:customStyle="1" w:styleId="type-xs">
    <w:name w:val="type-xs"/>
    <w:basedOn w:val="DefaultParagraphFont"/>
    <w:rsid w:val="00DC2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820467">
      <w:bodyDiv w:val="1"/>
      <w:marLeft w:val="0"/>
      <w:marRight w:val="0"/>
      <w:marTop w:val="0"/>
      <w:marBottom w:val="0"/>
      <w:divBdr>
        <w:top w:val="none" w:sz="0" w:space="0" w:color="auto"/>
        <w:left w:val="none" w:sz="0" w:space="0" w:color="auto"/>
        <w:bottom w:val="none" w:sz="0" w:space="0" w:color="auto"/>
        <w:right w:val="none" w:sz="0" w:space="0" w:color="auto"/>
      </w:divBdr>
      <w:divsChild>
        <w:div w:id="897476106">
          <w:marLeft w:val="0"/>
          <w:marRight w:val="0"/>
          <w:marTop w:val="0"/>
          <w:marBottom w:val="0"/>
          <w:divBdr>
            <w:top w:val="none" w:sz="0" w:space="0" w:color="auto"/>
            <w:left w:val="none" w:sz="0" w:space="0" w:color="auto"/>
            <w:bottom w:val="none" w:sz="0" w:space="0" w:color="auto"/>
            <w:right w:val="none" w:sz="0" w:space="0" w:color="auto"/>
          </w:divBdr>
          <w:divsChild>
            <w:div w:id="1139566891">
              <w:marLeft w:val="0"/>
              <w:marRight w:val="0"/>
              <w:marTop w:val="0"/>
              <w:marBottom w:val="0"/>
              <w:divBdr>
                <w:top w:val="none" w:sz="0" w:space="0" w:color="auto"/>
                <w:left w:val="none" w:sz="0" w:space="0" w:color="auto"/>
                <w:bottom w:val="none" w:sz="0" w:space="0" w:color="auto"/>
                <w:right w:val="none" w:sz="0" w:space="0" w:color="auto"/>
              </w:divBdr>
              <w:divsChild>
                <w:div w:id="11200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9326">
          <w:marLeft w:val="0"/>
          <w:marRight w:val="0"/>
          <w:marTop w:val="0"/>
          <w:marBottom w:val="0"/>
          <w:divBdr>
            <w:top w:val="none" w:sz="0" w:space="0" w:color="auto"/>
            <w:left w:val="none" w:sz="0" w:space="0" w:color="auto"/>
            <w:bottom w:val="none" w:sz="0" w:space="0" w:color="auto"/>
            <w:right w:val="none" w:sz="0" w:space="0" w:color="auto"/>
          </w:divBdr>
          <w:divsChild>
            <w:div w:id="2101024142">
              <w:marLeft w:val="0"/>
              <w:marRight w:val="0"/>
              <w:marTop w:val="0"/>
              <w:marBottom w:val="0"/>
              <w:divBdr>
                <w:top w:val="none" w:sz="0" w:space="0" w:color="auto"/>
                <w:left w:val="none" w:sz="0" w:space="0" w:color="auto"/>
                <w:bottom w:val="none" w:sz="0" w:space="0" w:color="auto"/>
                <w:right w:val="none" w:sz="0" w:space="0" w:color="auto"/>
              </w:divBdr>
              <w:divsChild>
                <w:div w:id="1374161003">
                  <w:marLeft w:val="0"/>
                  <w:marRight w:val="0"/>
                  <w:marTop w:val="0"/>
                  <w:marBottom w:val="300"/>
                  <w:divBdr>
                    <w:top w:val="none" w:sz="0" w:space="0" w:color="auto"/>
                    <w:left w:val="none" w:sz="0" w:space="0" w:color="auto"/>
                    <w:bottom w:val="none" w:sz="0" w:space="0" w:color="auto"/>
                    <w:right w:val="none" w:sz="0" w:space="0" w:color="auto"/>
                  </w:divBdr>
                </w:div>
              </w:divsChild>
            </w:div>
            <w:div w:id="665860703">
              <w:marLeft w:val="0"/>
              <w:marRight w:val="0"/>
              <w:marTop w:val="0"/>
              <w:marBottom w:val="0"/>
              <w:divBdr>
                <w:top w:val="none" w:sz="0" w:space="0" w:color="auto"/>
                <w:left w:val="none" w:sz="0" w:space="0" w:color="auto"/>
                <w:bottom w:val="none" w:sz="0" w:space="0" w:color="auto"/>
                <w:right w:val="none" w:sz="0" w:space="0" w:color="auto"/>
              </w:divBdr>
              <w:divsChild>
                <w:div w:id="157498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reeye.com/blog/threat-research/2018/06/totally-tubular-treatise-on-triton-and-tristation.html" TargetMode="External"/><Relationship Id="rId18" Type="http://schemas.openxmlformats.org/officeDocument/2006/relationships/image" Target="media/image2.png"/><Relationship Id="rId26" Type="http://schemas.openxmlformats.org/officeDocument/2006/relationships/hyperlink" Target="https://attack.mitre.org/techniques/T1311/" TargetMode="External"/><Relationship Id="rId39" Type="http://schemas.openxmlformats.org/officeDocument/2006/relationships/theme" Target="theme/theme1.xml"/><Relationship Id="rId21" Type="http://schemas.openxmlformats.org/officeDocument/2006/relationships/hyperlink" Target="https://docs.microsoft.com/en-us/windows/desktop/taskschd/daily-trigger-example--xml-" TargetMode="External"/><Relationship Id="rId34" Type="http://schemas.openxmlformats.org/officeDocument/2006/relationships/hyperlink" Target="https://www.fireeye.com/solutions/cyber-threat-intelligence.html?utm_source=google&amp;utm_medium=cpc&amp;utm_content=paid-search&amp;gclid=CjwKCAjwstfkBRBoEiwADTmnEF8VtsXQ9TPcLxWWJqMm6EnpG2o5dsmJqK282QEZCDkw_sMQSB-YOhoCKkIQAvD_BwE&amp;gclsrc=aw.ds" TargetMode="External"/><Relationship Id="rId7" Type="http://schemas.openxmlformats.org/officeDocument/2006/relationships/hyperlink" Target="https://www.fireeye.com/blog/threat-research.html/category/etc/tags/fireeye-blog-authors/daniel-kapellmann-zafra" TargetMode="External"/><Relationship Id="rId12" Type="http://schemas.openxmlformats.org/officeDocument/2006/relationships/hyperlink" Target="https://www.fireeye.com/blog/threat-research/2017/12/attackers-deploy-new-ics-attack-framework-triton.html" TargetMode="External"/><Relationship Id="rId17" Type="http://schemas.openxmlformats.org/officeDocument/2006/relationships/image" Target="media/image1.png"/><Relationship Id="rId25" Type="http://schemas.openxmlformats.org/officeDocument/2006/relationships/hyperlink" Target="https://attack.mitre.org/techniques/T1329/" TargetMode="External"/><Relationship Id="rId33" Type="http://schemas.openxmlformats.org/officeDocument/2006/relationships/hyperlink" Target="https://www.fireeye.com/service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ireeye.com/solutions/cyber-threat-intelligence.html?utm_source=google&amp;utm_medium=cpc&amp;utm_content=paid-search&amp;gclid=CjwKCAjwstfkBRBoEiwADTmnEF8VtsXQ9TPcLxWWJqMm6EnpG2o5dsmJqK282QEZCDkw_sMQSB-YOhoCKkIQAvD_BwE&amp;gclsrc=aw.ds" TargetMode="External"/><Relationship Id="rId20" Type="http://schemas.openxmlformats.org/officeDocument/2006/relationships/hyperlink" Target="https://attack.mitre.org/techniques/T1053/" TargetMode="External"/><Relationship Id="rId29" Type="http://schemas.openxmlformats.org/officeDocument/2006/relationships/hyperlink" Target="https://attack.mitre.org/techniques/T1076/" TargetMode="External"/><Relationship Id="rId1" Type="http://schemas.openxmlformats.org/officeDocument/2006/relationships/numbering" Target="numbering.xml"/><Relationship Id="rId6" Type="http://schemas.openxmlformats.org/officeDocument/2006/relationships/hyperlink" Target="https://www.fireeye.com/blog/threat-research.html/category/etc/tags/fireeye-blog-authors/nathan-brubaker" TargetMode="External"/><Relationship Id="rId11" Type="http://schemas.openxmlformats.org/officeDocument/2006/relationships/hyperlink" Target="https://www.fireeye.com/blog/threat-research.html/category/etc/tags/fireeye-blog-tags/ics-security" TargetMode="External"/><Relationship Id="rId24" Type="http://schemas.openxmlformats.org/officeDocument/2006/relationships/hyperlink" Target="https://attack.mitre.org/techniques/T1065/" TargetMode="External"/><Relationship Id="rId32" Type="http://schemas.openxmlformats.org/officeDocument/2006/relationships/hyperlink" Target="https://attack.mitre.org/techniques/T1099/" TargetMode="External"/><Relationship Id="rId37" Type="http://schemas.openxmlformats.org/officeDocument/2006/relationships/hyperlink" Target="https://www.fireeye.com/content/dam/fireeye-www/blog/files/TRITON_Appendix_C.html" TargetMode="External"/><Relationship Id="rId5" Type="http://schemas.openxmlformats.org/officeDocument/2006/relationships/hyperlink" Target="https://www.fireeye.com/blog/threat-research.html/category/etc/tags/fireeye-blog-authors/cap-steve-miller" TargetMode="External"/><Relationship Id="rId15" Type="http://schemas.openxmlformats.org/officeDocument/2006/relationships/hyperlink" Target="https://www.fireeye.com/services.html" TargetMode="External"/><Relationship Id="rId23" Type="http://schemas.openxmlformats.org/officeDocument/2006/relationships/hyperlink" Target="https://attack.mitre.org/techniques/T1043/" TargetMode="External"/><Relationship Id="rId28" Type="http://schemas.openxmlformats.org/officeDocument/2006/relationships/hyperlink" Target="https://www.fireeye.com/blog/threat-research/2019/01/bypassing-network-restrictions-through-rdp-tunneling.html" TargetMode="External"/><Relationship Id="rId36" Type="http://schemas.openxmlformats.org/officeDocument/2006/relationships/hyperlink" Target="https://www.fireeye.com/content/dam/fireeye-www/blog/pdfs/TRITON_Appendix_B.pdf" TargetMode="External"/><Relationship Id="rId10" Type="http://schemas.openxmlformats.org/officeDocument/2006/relationships/hyperlink" Target="https://www.fireeye.com/blog/threat-research.html/category/etc/tags/fireeye-blog-tags/TTPs" TargetMode="External"/><Relationship Id="rId19" Type="http://schemas.openxmlformats.org/officeDocument/2006/relationships/image" Target="media/image3.png"/><Relationship Id="rId31" Type="http://schemas.openxmlformats.org/officeDocument/2006/relationships/hyperlink" Target="https://attack.mitre.org/techniques/T1078/" TargetMode="External"/><Relationship Id="rId4" Type="http://schemas.openxmlformats.org/officeDocument/2006/relationships/webSettings" Target="webSettings.xml"/><Relationship Id="rId9" Type="http://schemas.openxmlformats.org/officeDocument/2006/relationships/hyperlink" Target="https://www.fireeye.com/blog/threat-research.html/category/etc/tags/fireeye-blog-tags/malware" TargetMode="External"/><Relationship Id="rId14" Type="http://schemas.openxmlformats.org/officeDocument/2006/relationships/hyperlink" Target="https://www.fireeye.com/blog/threat-research/2018/10/triton-attribution-russian-government-owned-lab-most-likely-built-tools.html" TargetMode="External"/><Relationship Id="rId22" Type="http://schemas.openxmlformats.org/officeDocument/2006/relationships/hyperlink" Target="https://attack.mitre.org/techniques/T1183/" TargetMode="External"/><Relationship Id="rId27" Type="http://schemas.openxmlformats.org/officeDocument/2006/relationships/hyperlink" Target="https://attack.mitre.org/techniques/T1076/" TargetMode="External"/><Relationship Id="rId30" Type="http://schemas.openxmlformats.org/officeDocument/2006/relationships/hyperlink" Target="https://www.fireeye.com/blog/threat-research/2018/04/establishing-a-baseline-for-remote-desktop-protocol.html" TargetMode="External"/><Relationship Id="rId35" Type="http://schemas.openxmlformats.org/officeDocument/2006/relationships/hyperlink" Target="https://www.fireeye.com/content/dam/fireeye-www/blog/pdfs/TRITON_Appendix_A.pdf" TargetMode="External"/><Relationship Id="rId8" Type="http://schemas.openxmlformats.org/officeDocument/2006/relationships/hyperlink" Target="https://www.fireeye.com/blog/threat-research.html/category/etc/tags/fireeye-blog-authors/dan-cab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4195</Words>
  <Characters>23916</Characters>
  <Application>Microsoft Office Word</Application>
  <DocSecurity>0</DocSecurity>
  <Lines>199</Lines>
  <Paragraphs>56</Paragraphs>
  <ScaleCrop>false</ScaleCrop>
  <Company/>
  <LinksUpToDate>false</LinksUpToDate>
  <CharactersWithSpaces>28055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 Miller</dc:creator>
  <cp:keywords/>
  <dc:description/>
  <cp:lastModifiedBy>Steven U. Miller</cp:lastModifiedBy>
  <cp:revision>1</cp:revision>
  <dcterms:created xsi:type="dcterms:W3CDTF">2021-07-26T16:32:00Z</dcterms:created>
  <dcterms:modified xsi:type="dcterms:W3CDTF">2021-07-26T16:32:00Z</dcterms:modified>
</cp:coreProperties>
</file>