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6F8B"/>
          <w:sz w:val="24"/>
        </w:rPr>
        <w:t>FIAP Pós Tech  ·  Tech Challenge</w:t>
      </w:r>
    </w:p>
    <w:p>
      <w:r>
        <w:rPr>
          <w:b/>
          <w:color w:val="0F2744"/>
          <w:sz w:val="52"/>
        </w:rPr>
        <w:t>Alfabetização no Brasil</w:t>
      </w:r>
    </w:p>
    <w:p>
      <w:r>
        <w:rPr>
          <w:color w:val="5A6470"/>
          <w:sz w:val="28"/>
        </w:rPr>
        <w:t>Vinicius Santos</w:t>
      </w:r>
    </w:p>
    <w:p/>
    <w:p>
      <w:r>
        <w:rPr>
          <w:b/>
          <w:color w:val="0F2744"/>
          <w:sz w:val="32"/>
        </w:rPr>
        <w:t>O projeto</w:t>
      </w:r>
    </w:p>
    <w:p>
      <w:pPr>
        <w:spacing w:after="200" w:line="276" w:lineRule="auto"/>
      </w:pPr>
      <w:r>
        <w:t>Este trabalho integra dados públicos do INEP (via Base dos Dados) sobre o Compromisso Nacional Criança Alfabetizada. A unidade de análise é o município (rede municipal), não o aluno.</w:t>
      </w:r>
    </w:p>
    <w:p>
      <w:pPr>
        <w:spacing w:after="200" w:line="276" w:lineRule="auto"/>
      </w:pPr>
      <w:r>
        <w:t>A Fase 2 constrói o pipeline de dados (Bronze / Silver / Gold), em lote e em streaming, para organizar taxas, metas e participação por cidade e por ano.</w:t>
      </w:r>
    </w:p>
    <w:p>
      <w:pPr>
        <w:spacing w:after="200" w:line="276" w:lineRule="auto"/>
      </w:pPr>
      <w:r>
        <w:t>A Fase 3 usa esse Silver para um modelo supervisionado: em janeiro, dá para saber se o município vai bater a meta de alfabetização de 2024? Com região e participação, o palpite empata com cara ou coroa e perde de um chute. O resultado honesto é o mapa não antecipar a meta. O que serve na gestão é ordenar quem já estava mais longe da barra no ano passado.</w:t>
      </w:r>
    </w:p>
    <w:p>
      <w:pPr>
        <w:spacing w:before="160"/>
      </w:pPr>
      <w:r>
        <w:rPr>
          <w:b/>
          <w:color w:val="0F2744"/>
          <w:sz w:val="32"/>
        </w:rPr>
        <w:t>Links da entrega</w:t>
      </w:r>
    </w:p>
    <w:p>
      <w:r>
        <w:rPr>
          <w:b w:val="0"/>
        </w:rPr>
        <w:t xml:space="preserve">Vídeo da apresentação (~5 min): </w:t>
      </w:r>
      <w:hyperlink r:id="rId9">
        <w:r>
          <w:rPr>
            <w:color w:val="0563C1"/>
            <w:u w:val="single"/>
            <w:sz w:val="24"/>
          </w:rPr>
          <w:t xml:space="preserve">https://youtu.be/H-mDgqTfOLI</w:t>
        </w:r>
      </w:hyperlink>
    </w:p>
    <w:p>
      <w:r>
        <w:rPr>
          <w:b w:val="0"/>
        </w:rPr>
        <w:t xml:space="preserve">Repositório no GitHub: </w:t>
      </w:r>
      <w:hyperlink r:id="rId10">
        <w:r>
          <w:rPr>
            <w:color w:val="0563C1"/>
            <w:u w:val="single"/>
            <w:sz w:val="24"/>
          </w:rPr>
          <w:t xml:space="preserve">https://github.com/stvinicius/tech_challenge_fase3</w:t>
        </w:r>
      </w:hyperlink>
    </w:p>
    <w:p>
      <w:pPr>
        <w:spacing w:before="360"/>
      </w:pPr>
      <w:r>
        <w:rPr>
          <w:i/>
          <w:color w:val="5A6470"/>
          <w:sz w:val="20"/>
        </w:rPr>
        <w:t>Fonte: INEP / Base dos Dados  ·  rede municipal, 2023 e 2024.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H-mDgqTfOLI" TargetMode="External"/><Relationship Id="rId10" Type="http://schemas.openxmlformats.org/officeDocument/2006/relationships/hyperlink" Target="https://github.com/stvinicius/tech_challenge_fas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