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HCP-PRE-01</w:t>
      </w:r>
      <w:r>
        <w:br/>
      </w:r>
      <w:r>
        <w:rPr>
          <w:sz w:val="20"/>
        </w:rPr>
      </w:r>
      <w:r>
        <w:br/>
      </w:r>
      <w:r>
        <w:rPr>
          <w:sz w:val="20"/>
        </w:rPr>
        <w:t>Toegewezen casussen:</w:t>
      </w:r>
      <w:r>
        <w:br/>
      </w:r>
      <w:r>
        <w:rPr>
          <w:sz w:val="20"/>
        </w:rPr>
        <w:t>C01  (28-jarige softwareontwikkelaar)</w:t>
      </w:r>
      <w:r>
        <w:br/>
      </w:r>
      <w:r>
        <w:rPr>
          <w:sz w:val="20"/>
        </w:rPr>
        <w:t>en</w:t>
      </w:r>
      <w:r>
        <w:br/>
      </w:r>
      <w:r>
        <w:rPr>
          <w:sz w:val="20"/>
        </w:rPr>
        <w:t>C02  (34-jarige administratief medewerker in de zorg)</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C01: 28-jarige softwareontwikkelaar</w:t>
      </w:r>
    </w:p>
    <w:p>
      <w:pPr>
        <w:jc w:val="left"/>
        <w:shd w:val="clear" w:color="auto" w:fill="EFF6FF"/>
      </w:pPr>
      <w:r>
        <w:rPr>
          <w:sz w:val="20"/>
        </w:rPr>
        <w:t>CASUSVIGNET  |  Duur: 2 maanden</w:t>
      </w:r>
      <w:r>
        <w:br/>
      </w:r>
      <w:r>
        <w:rPr>
          <w:sz w:val="20"/>
        </w:rPr>
      </w:r>
      <w:r>
        <w:br/>
      </w:r>
      <w:r>
        <w:rPr>
          <w:sz w:val="20"/>
        </w:rPr>
        <w:t>``De afgelopen twee maanden geraak ik 's avonds heel moeilijk in slaap. Mijn hoofd blijft maar doorgaan over alles wat ik nog moet doen -- deadlines, onafgewerkte taken, gesprekken die ik nog moet voeren. Zelfs als ik uitgeput ben, krijg ik die gedachten niet uitgezet. Ik merk ook dat ik minder plezier beleef aan sociale momenten. Ik ga nog wel naar afspraken met vrienden, maar ik voel me er afstandelijk en niet echt betrokken. Mijn nek en schouders staan bovendien bijna voortdurend gespannen en pijnlijk, wat volgens mijn huisarts waarschijnlijk stressgerelateerd is.''</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C02: 34-jarige administratief medewerker in de zorg</w:t>
      </w:r>
    </w:p>
    <w:p>
      <w:pPr>
        <w:jc w:val="left"/>
        <w:shd w:val="clear" w:color="auto" w:fill="EFF6FF"/>
      </w:pPr>
      <w:r>
        <w:rPr>
          <w:sz w:val="20"/>
        </w:rPr>
        <w:t>CASUSVIGNET  |  Duur: 3 maanden</w:t>
      </w:r>
      <w:r>
        <w:br/>
      </w:r>
      <w:r>
        <w:rPr>
          <w:sz w:val="20"/>
        </w:rPr>
      </w:r>
      <w:r>
        <w:br/>
      </w:r>
      <w:r>
        <w:rPr>
          <w:sz w:val="20"/>
        </w:rPr>
        <w:t>``Ongeveer drie maanden geleden begon ik plots episodes te krijgen waarbij mijn hart tekeergaat, ik het gevoel heb dat ik geen lucht krijg en ik er zeker van ben dat er iets ernstig misloopt. Die episodes zijn heel beangstigend en kunnen zelfs optreden wanneer ik thuis rustig neerzit. Sindsdien ben ik bang geworden om zo'n episode in het openbaar te krijgen en vermijd ik supermarkten, openbaar vervoer en drukke plaatsen. Ik heb mij al meerdere keren ziek gemeld omdat ik bang was dat het op het werk zou gebeuren. Ik weet rationeel dat die situaties niet gevaarlijk zijn, maar de angst blijft overheersen.''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C01: Deel 2</w:t>
      </w:r>
    </w:p>
    <w:p>
      <w:pPr>
        <w:jc w:val="left"/>
        <w:shd w:val="clear" w:color="auto" w:fill="EFF6FF"/>
      </w:pPr>
      <w:r>
        <w:rPr>
          <w:sz w:val="20"/>
        </w:rPr>
        <w:t>Casus C01: verkorte klachtomschrijving</w:t>
      </w:r>
      <w:r>
        <w:br/>
      </w:r>
      <w:r>
        <w:rPr>
          <w:sz w:val="20"/>
        </w:rPr>
        <w:t>28-jarige softwareontwikkelaar; duur: 2 maanden. Inslaapproblemen, cognitieve hyperarousal bij het slapengaan, sociale anhedonie en stressgerelateerde spierspanning.</w:t>
      </w:r>
    </w:p>
    <w:p/>
    <w:p>
      <w:r>
        <w:rPr>
          <w:b/>
          <w:sz w:val="20"/>
        </w:rPr>
        <w:t>Gestandaardiseerde criteria uit stap 1:</w:t>
      </w:r>
    </w:p>
    <w:p>
      <w:pPr>
        <w:pStyle w:val="ListBullet"/>
      </w:pPr>
      <w:r>
        <w:rPr>
          <w:sz w:val="20"/>
        </w:rPr>
        <w:t xml:space="preserve">  CR-1  Inslaapproblemen</w:t>
      </w:r>
    </w:p>
    <w:p>
      <w:pPr>
        <w:pStyle w:val="ListBullet"/>
      </w:pPr>
      <w:r>
        <w:rPr>
          <w:sz w:val="20"/>
        </w:rPr>
        <w:t xml:space="preserve">  CR-2  Cognitieve hyperarousal</w:t>
      </w:r>
    </w:p>
    <w:p>
      <w:pPr>
        <w:pStyle w:val="ListBullet"/>
      </w:pPr>
      <w:r>
        <w:rPr>
          <w:sz w:val="20"/>
        </w:rPr>
        <w:t xml:space="preserve">  CR-3  Sociale anhedonie</w:t>
      </w:r>
    </w:p>
    <w:p>
      <w:pPr>
        <w:pStyle w:val="ListBullet"/>
      </w:pPr>
      <w:r>
        <w:rPr>
          <w:sz w:val="20"/>
        </w:rPr>
        <w:t xml:space="preserve">  CR-4  Stressgerelateerde spierspanning</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C02: Deel 2</w:t>
      </w:r>
    </w:p>
    <w:p>
      <w:pPr>
        <w:jc w:val="left"/>
        <w:shd w:val="clear" w:color="auto" w:fill="EFF6FF"/>
      </w:pPr>
      <w:r>
        <w:rPr>
          <w:sz w:val="20"/>
        </w:rPr>
        <w:t>Casus C02: verkorte klachtomschrijving</w:t>
      </w:r>
      <w:r>
        <w:br/>
      </w:r>
      <w:r>
        <w:rPr>
          <w:sz w:val="20"/>
        </w:rPr>
        <w:t>34-jarige administratief medewerker in de zorg; duur: 3 maanden. Recidiverende paniekepisoden, anticipatieangst, situationele vermijding en beroepsmatige interferentie.</w:t>
      </w:r>
    </w:p>
    <w:p/>
    <w:p>
      <w:r>
        <w:rPr>
          <w:b/>
          <w:sz w:val="20"/>
        </w:rPr>
        <w:t>Gestandaardiseerde criteria uit stap 1:</w:t>
      </w:r>
    </w:p>
    <w:p>
      <w:pPr>
        <w:pStyle w:val="ListBullet"/>
      </w:pPr>
      <w:r>
        <w:rPr>
          <w:sz w:val="20"/>
        </w:rPr>
        <w:t xml:space="preserve">  CR-1  Recidiverende paniekepisoden</w:t>
      </w:r>
    </w:p>
    <w:p>
      <w:pPr>
        <w:pStyle w:val="ListBullet"/>
      </w:pPr>
      <w:r>
        <w:rPr>
          <w:sz w:val="20"/>
        </w:rPr>
        <w:t xml:space="preserve">  CR-2  Anticipatieangst</w:t>
      </w:r>
    </w:p>
    <w:p>
      <w:pPr>
        <w:pStyle w:val="ListBullet"/>
      </w:pPr>
      <w:r>
        <w:rPr>
          <w:sz w:val="20"/>
        </w:rPr>
        <w:t xml:space="preserve">  CR-3  Situationele vermijding</w:t>
      </w:r>
    </w:p>
    <w:p>
      <w:pPr>
        <w:pStyle w:val="ListBullet"/>
      </w:pPr>
      <w:r>
        <w:rPr>
          <w:sz w:val="20"/>
        </w:rPr>
        <w:t xml:space="preserve">  CR-4  Beroepsmatige interferentie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C01: Deel 3</w:t>
      </w:r>
    </w:p>
    <w:p>
      <w:pPr>
        <w:jc w:val="left"/>
        <w:shd w:val="clear" w:color="auto" w:fill="EFF6FF"/>
      </w:pPr>
      <w:r>
        <w:rPr>
          <w:sz w:val="20"/>
        </w:rPr>
        <w:t>Casus C01: 28-jarige softwareontwikkelaar</w:t>
      </w:r>
      <w:r>
        <w:br/>
      </w:r>
      <w:r>
        <w:rPr>
          <w:sz w:val="20"/>
        </w:rPr>
        <w:t>Inslaapproblemen, cognitieve hyperarousal bij het slapengaan, sociale anhedonie en stressgerelateerde spierspanning.  Duur: 2 maanden.</w:t>
      </w:r>
    </w:p>
    <w:p>
      <w:r>
        <w:rPr>
          <w:b/>
          <w:sz w:val="20"/>
        </w:rPr>
        <w:t xml:space="preserve">21-daagse monitoring:  </w:t>
      </w:r>
      <w:r>
        <w:rPr>
          <w:sz w:val="20"/>
        </w:rPr>
        <w:t>Schermtijd na 22.00 uur: 16/21 avonden (gem. 78 min). Openstaande taken: gem. 6,2 per dag. Sociale activiteiten: 2,1/week (beleving 2,3/10). Preslaap offloading toegepast: 3/21 avonden. Lichamelijke activiteit: gem. 0,7 sessies/week.</w:t>
      </w:r>
    </w:p>
    <w:p/>
    <w:p>
      <w:r>
        <w:rPr>
          <w:b/>
          <w:sz w:val="20"/>
        </w:rPr>
        <w:t>Bipartiet netwerk (zie PDF voor visuele weergave):</w:t>
      </w:r>
    </w:p>
    <w:p>
      <w:r>
        <w:rPr>
          <w:b/>
          <w:color w:val="B91C1C"/>
          <w:sz w:val="18"/>
        </w:rPr>
        <w:t xml:space="preserve">  Sterke relaties (rood):  </w:t>
      </w:r>
      <w:r>
        <w:rPr>
          <w:sz w:val="18"/>
        </w:rPr>
        <w:t>CR-1 (Inslaapproblemen) &lt;-&gt; P1 (Late avondschermtijd),  CR-2 (Cognitieve hyperarousal) &lt;-&gt; P1 (Late avondschermtijd),  CR-2 (Cognitieve hyperarousal) &lt;-&gt; P3 (Preslaap cognitieve offloading),  CR-3 (Sociale anhedonie) &lt;-&gt; P4 (Sociale participatie)</w:t>
      </w:r>
    </w:p>
    <w:p>
      <w:r>
        <w:rPr>
          <w:b/>
          <w:color w:val="1D4ED8"/>
          <w:sz w:val="18"/>
        </w:rPr>
        <w:t xml:space="preserve">  Matige relaties (blauw):  </w:t>
      </w:r>
      <w:r>
        <w:rPr>
          <w:sz w:val="18"/>
        </w:rPr>
        <w:t>CR-2 (Cognitieve hyperarousal) &lt;-&gt; P2 (Dagelijkse taakaccumulatie),  CR-1 (Inslaapproblemen) &lt;-&gt; P3 (Preslaap cognitieve offloading),  CR-1 (Inslaapproblemen) &lt;-&gt; P5 (Aerobe beweging),  CR-4 (Stressgerelateerde spierspanning) &lt;-&gt; P5 (Aerobe beweging)</w:t>
      </w:r>
    </w:p>
    <w:p/>
    <w:p>
      <w:r>
        <w:rPr>
          <w:sz w:val="20"/>
        </w:rPr>
        <w:t>Beschikbare predictors:  P1: Late avondschermtijd,  P2: Dagelijkse taakaccumulatie,  P3: Preslaap cognitieve offloading,  P4: Sociale participatie,  P5: Aerobe beweging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C02: Deel 3</w:t>
      </w:r>
    </w:p>
    <w:p>
      <w:pPr>
        <w:jc w:val="left"/>
        <w:shd w:val="clear" w:color="auto" w:fill="EFF6FF"/>
      </w:pPr>
      <w:r>
        <w:rPr>
          <w:sz w:val="20"/>
        </w:rPr>
        <w:t>Casus C02: 34-jarige administratief medewerker in de zorg</w:t>
      </w:r>
      <w:r>
        <w:br/>
      </w:r>
      <w:r>
        <w:rPr>
          <w:sz w:val="20"/>
        </w:rPr>
        <w:t>Recidiverende paniekepisoden, anticipatieangst, situationele vermijding en beroepsmatige interferentie.  Duur: 3 maanden.</w:t>
      </w:r>
    </w:p>
    <w:p>
      <w:r>
        <w:rPr>
          <w:b/>
          <w:sz w:val="20"/>
        </w:rPr>
        <w:t xml:space="preserve">21-daagse monitoring:  </w:t>
      </w:r>
      <w:r>
        <w:rPr>
          <w:sz w:val="20"/>
        </w:rPr>
        <w:t>Paniekepisoden: gem. 2,3/week. Vermijdingsepisodes: gem. 4,1/dag. Veiligheidsgedrag: gem. 8,7/dag. Geplande exposurepogingen: gem. 0,3/dag. Werkaanwezigheid: 60\%. Verwachte angst in publieke settings: 7,8/10.</w:t>
      </w:r>
    </w:p>
    <w:p/>
    <w:p>
      <w:r>
        <w:rPr>
          <w:b/>
          <w:sz w:val="20"/>
        </w:rPr>
        <w:t>Bipartiet netwerk (zie PDF voor visuele weergave):</w:t>
      </w:r>
    </w:p>
    <w:p>
      <w:r>
        <w:rPr>
          <w:b/>
          <w:color w:val="B91C1C"/>
          <w:sz w:val="18"/>
        </w:rPr>
        <w:t xml:space="preserve">  Sterke relaties (rood):  </w:t>
      </w:r>
      <w:r>
        <w:rPr>
          <w:sz w:val="18"/>
        </w:rPr>
        <w:t>CR-3 (Situationele vermijding) &lt;-&gt; P1 (Vermijdingsgedrag),  CR-2 (Anticipatieangst) &lt;-&gt; P1 (Vermijdingsgedrag),  CR-2 (Anticipatieangst) &lt;-&gt; P2 (Veiligheidsgedrag),  CR-2 (Anticipatieangst) &lt;-&gt; P3 (Interoceptieve focus),  CR-1 (Recidiverende paniekepisoden) &lt;-&gt; P3 (Interoceptieve focus),  CR-3 (Situationele vermijding) &lt;-&gt; P4 (Geplande exposure)</w:t>
      </w:r>
    </w:p>
    <w:p>
      <w:r>
        <w:rPr>
          <w:b/>
          <w:color w:val="1D4ED8"/>
          <w:sz w:val="18"/>
        </w:rPr>
        <w:t xml:space="preserve">  Matige relaties (blauw):  </w:t>
      </w:r>
      <w:r>
        <w:rPr>
          <w:sz w:val="18"/>
        </w:rPr>
        <w:t>CR-1 (Recidiverende paniekepisoden) &lt;-&gt; P2 (Veiligheidsgedrag),  CR-4 (Beroepsmatige interferentie) &lt;-&gt; P5 (Dagstructuur)</w:t>
      </w:r>
    </w:p>
    <w:p/>
    <w:p>
      <w:r>
        <w:rPr>
          <w:sz w:val="20"/>
        </w:rPr>
        <w:t>Beschikbare predictors:  P1: Vermijdingsgedrag,  P2: Veiligheidsgedrag,  P3: Interoceptieve focus,  P4: Geplande exposure,  P5: Dagstructuur</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C01: Deel 4</w:t>
      </w:r>
    </w:p>
    <w:p>
      <w:r>
        <w:rPr>
          <w:b/>
          <w:sz w:val="20"/>
        </w:rPr>
        <w:t>Gestandaardiseerde behandeldoelen uit Deel 3:</w:t>
      </w:r>
    </w:p>
    <w:p>
      <w:pPr>
        <w:pStyle w:val="ListBullet"/>
      </w:pPr>
      <w:r>
        <w:rPr>
          <w:b/>
          <w:sz w:val="18"/>
        </w:rPr>
        <w:t xml:space="preserve">Schermtijd na 22.00 uur  </w:t>
      </w:r>
      <w:r>
        <w:rPr>
          <w:sz w:val="18"/>
        </w:rPr>
        <w:t>(hoogste impact op CR-1 en CR-2; monitoring toont consequent laat gebruik (16/21 avonden))</w:t>
      </w:r>
    </w:p>
    <w:p>
      <w:pPr>
        <w:pStyle w:val="ListBullet"/>
      </w:pPr>
      <w:r>
        <w:rPr>
          <w:b/>
          <w:sz w:val="18"/>
        </w:rPr>
        <w:t xml:space="preserve">Preslaap cognitieve offloading  </w:t>
      </w:r>
      <w:r>
        <w:rPr>
          <w:sz w:val="18"/>
        </w:rPr>
        <w:t>(nauwelijks ingezet ondanks duidelijke taakaccumulatie; rechtstreeks relevant voor CR-2)</w:t>
      </w:r>
    </w:p>
    <w:p>
      <w:pPr>
        <w:pStyle w:val="ListBullet"/>
      </w:pPr>
      <w:r>
        <w:rPr>
          <w:b/>
          <w:sz w:val="18"/>
        </w:rPr>
        <w:t xml:space="preserve">Aerobe beweging  </w:t>
      </w:r>
      <w:r>
        <w:rPr>
          <w:sz w:val="18"/>
        </w:rPr>
        <w:t>(zeer lage frequentie (0,7 sessies/week); potentieel effect op CR-1 en CR-4)</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16.00 uur (aantal)</w:t>
      </w:r>
    </w:p>
    <w:p>
      <w:pPr>
        <w:pStyle w:val="ListParagraph"/>
        <w:ind w:left="283"/>
      </w:pPr>
      <w:r>
        <w:rPr>
          <w:sz w:val="20"/>
        </w:rPr>
        <w:t xml:space="preserve"> 2.  □  Schermtijd na 22:00 uur (min)</w:t>
      </w:r>
    </w:p>
    <w:p>
      <w:pPr>
        <w:pStyle w:val="ListParagraph"/>
        <w:ind w:left="283"/>
      </w:pPr>
      <w:r>
        <w:rPr>
          <w:sz w:val="20"/>
        </w:rPr>
        <w:t xml:space="preserve"> 3.  □  Aantal dutjes overdag (min)</w:t>
      </w:r>
    </w:p>
    <w:p>
      <w:pPr>
        <w:pStyle w:val="ListParagraph"/>
        <w:ind w:left="283"/>
      </w:pPr>
      <w:r>
        <w:rPr>
          <w:sz w:val="20"/>
        </w:rPr>
        <w:t xml:space="preserve"> 4.  □  Preslaap cognitieve offloading toegepast (ja/nee)</w:t>
      </w:r>
    </w:p>
    <w:p>
      <w:pPr>
        <w:pStyle w:val="ListParagraph"/>
        <w:ind w:left="283"/>
      </w:pPr>
      <w:r>
        <w:rPr>
          <w:sz w:val="20"/>
        </w:rPr>
        <w:t xml:space="preserve"> 5.  □  Tijd in bed voor het opstaan (min)</w:t>
      </w:r>
    </w:p>
    <w:p>
      <w:pPr>
        <w:pStyle w:val="ListParagraph"/>
        <w:ind w:left="283"/>
      </w:pPr>
      <w:r>
        <w:rPr>
          <w:sz w:val="20"/>
        </w:rPr>
        <w:t xml:space="preserve"> 6.  □  Aerobe beweging vandaag (min)</w:t>
      </w:r>
    </w:p>
    <w:p>
      <w:pPr>
        <w:pStyle w:val="ListParagraph"/>
        <w:ind w:left="283"/>
      </w:pPr>
      <w:r>
        <w:rPr>
          <w:sz w:val="20"/>
        </w:rPr>
        <w:t xml:space="preserve"> 7.  □  Aantal sociale afspraken gepland (aantal)</w:t>
      </w:r>
    </w:p>
    <w:p>
      <w:pPr>
        <w:pStyle w:val="ListParagraph"/>
        <w:ind w:left="283"/>
      </w:pPr>
      <w:r>
        <w:rPr>
          <w:sz w:val="20"/>
        </w:rPr>
        <w:t xml:space="preserve"> 8.  □  Nek- en schouderspanning in de namiddag (0--10)</w:t>
      </w:r>
    </w:p>
    <w:p>
      <w:pPr>
        <w:pStyle w:val="ListParagraph"/>
        <w:ind w:left="283"/>
      </w:pPr>
      <w:r>
        <w:rPr>
          <w:sz w:val="20"/>
        </w:rPr>
        <w:t xml:space="preserve"> 9.  □  Blootstelling aan blauw licht voor het slapengaan (min)</w:t>
      </w:r>
    </w:p>
    <w:p>
      <w:pPr>
        <w:pStyle w:val="ListParagraph"/>
        <w:ind w:left="283"/>
      </w:pPr>
      <w:r>
        <w:rPr>
          <w:sz w:val="20"/>
        </w:rPr>
        <w:t>10.  □  Piekeren over sociale afwijzing (0--10)</w:t>
      </w:r>
    </w:p>
    <w:p>
      <w:pPr>
        <w:pStyle w:val="ListParagraph"/>
        <w:ind w:left="283"/>
      </w:pPr>
      <w:r>
        <w:rPr>
          <w:sz w:val="20"/>
        </w:rPr>
        <w:t>11.  □  Aantal maaltijden na 21.00 uur (aantal)</w:t>
      </w:r>
    </w:p>
    <w:p>
      <w:pPr>
        <w:pStyle w:val="ListParagraph"/>
        <w:ind w:left="283"/>
      </w:pPr>
      <w:r>
        <w:rPr>
          <w:sz w:val="20"/>
        </w:rPr>
        <w:t>12.  □  Ochtendlichtblootstelling (min)</w:t>
      </w:r>
    </w:p>
    <w:p>
      <w:pPr>
        <w:pStyle w:val="ListParagraph"/>
        <w:ind w:left="283"/>
      </w:pPr>
      <w:r>
        <w:rPr>
          <w:sz w:val="20"/>
        </w:rPr>
        <w:t>13.  □  Preslaap ontspanningsritueel uitgevoerd (ja/nee)</w:t>
      </w:r>
    </w:p>
    <w:p>
      <w:pPr>
        <w:pStyle w:val="ListParagraph"/>
        <w:ind w:left="283"/>
      </w:pPr>
      <w:r>
        <w:rPr>
          <w:sz w:val="20"/>
        </w:rPr>
        <w:t>14.  □  Werkuren vandaag (uren)</w:t>
      </w:r>
    </w:p>
    <w:p>
      <w:pPr>
        <w:pStyle w:val="ListParagraph"/>
        <w:ind w:left="283"/>
      </w:pPr>
      <w:r>
        <w:rPr>
          <w:sz w:val="20"/>
        </w:rPr>
        <w:t>15.  □  Alcoholinname in de avond (aantal)</w:t>
      </w:r>
    </w:p>
    <w:p>
      <w:pPr>
        <w:pStyle w:val="ListParagraph"/>
        <w:ind w:left="283"/>
      </w:pPr>
      <w:r>
        <w:rPr>
          <w:sz w:val="20"/>
        </w:rPr>
        <w:t>16.  □  Slaapduur afgelopen nacht (uren)</w:t>
      </w:r>
    </w:p>
    <w:p>
      <w:pPr>
        <w:pStyle w:val="ListParagraph"/>
        <w:ind w:left="283"/>
      </w:pPr>
      <w:r>
        <w:rPr>
          <w:sz w:val="20"/>
        </w:rPr>
        <w:t>17.  □  Aantal onbeantwoorde berichten (aantal)</w:t>
      </w:r>
    </w:p>
    <w:p>
      <w:pPr>
        <w:pStyle w:val="ListParagraph"/>
        <w:ind w:left="283"/>
      </w:pPr>
      <w:r>
        <w:rPr>
          <w:sz w:val="20"/>
        </w:rPr>
        <w:t>18.  □  Pijnintensiteit lage rug (0--10)</w:t>
      </w:r>
    </w:p>
    <w:p>
      <w:pPr>
        <w:pStyle w:val="ListParagraph"/>
        <w:ind w:left="283"/>
      </w:pPr>
      <w:r>
        <w:rPr>
          <w:sz w:val="20"/>
        </w:rPr>
        <w:t>19.  □  Hydratatie vandaag (glazen)</w:t>
      </w:r>
    </w:p>
    <w:p>
      <w:pPr>
        <w:pStyle w:val="ListParagraph"/>
        <w:ind w:left="283"/>
      </w:pPr>
      <w:r>
        <w:rPr>
          <w:sz w:val="20"/>
        </w:rPr>
        <w:t>20.  □  Concentratie overdag (0--10)</w:t>
      </w:r>
    </w:p>
    <w:p/>
    <w:p>
      <w:r>
        <w:rPr>
          <w:b/>
          <w:sz w:val="20"/>
        </w:rPr>
        <w:t>Totaal geselecteerd: _____ / 5</w:t>
      </w:r>
    </w:p>
    <w:p>
      <w:r>
        <w:br w:type="page"/>
      </w:r>
    </w:p>
    <w:p>
      <w:pPr>
        <w:pStyle w:val="Heading2"/>
        <w:jc w:val="left"/>
      </w:pPr>
      <w:r>
        <w:t>Casus C02: Deel 4</w:t>
      </w:r>
    </w:p>
    <w:p>
      <w:r>
        <w:rPr>
          <w:b/>
          <w:sz w:val="20"/>
        </w:rPr>
        <w:t>Gestandaardiseerde behandeldoelen uit Deel 3:</w:t>
      </w:r>
    </w:p>
    <w:p>
      <w:pPr>
        <w:pStyle w:val="ListBullet"/>
      </w:pPr>
      <w:r>
        <w:rPr>
          <w:b/>
          <w:sz w:val="18"/>
        </w:rPr>
        <w:t xml:space="preserve">Geplande exposure  </w:t>
      </w:r>
      <w:r>
        <w:rPr>
          <w:sz w:val="18"/>
        </w:rPr>
        <w:t>(nagenoeg afwezig in de monitoring (0,3/dag); rechtstreeks aangrijpingspunt voor vermijdingsreductie)</w:t>
      </w:r>
    </w:p>
    <w:p>
      <w:pPr>
        <w:pStyle w:val="ListBullet"/>
      </w:pPr>
      <w:r>
        <w:rPr>
          <w:b/>
          <w:sz w:val="18"/>
        </w:rPr>
        <w:t xml:space="preserve">Veiligheidsgedrag  </w:t>
      </w:r>
      <w:r>
        <w:rPr>
          <w:sz w:val="18"/>
        </w:rPr>
        <w:t>(hoge frequentie (8,7/dag) onderhoudt anticipatieangst en paniekverwachting)</w:t>
      </w:r>
    </w:p>
    <w:p>
      <w:pPr>
        <w:pStyle w:val="ListBullet"/>
      </w:pPr>
      <w:r>
        <w:rPr>
          <w:b/>
          <w:sz w:val="18"/>
        </w:rPr>
        <w:t xml:space="preserve">Interoceptieve focus  </w:t>
      </w:r>
      <w:r>
        <w:rPr>
          <w:sz w:val="18"/>
        </w:rPr>
        <w:t>(verhoogde aandacht voor lichamelijke sensaties voedt escalatie van CR-1 en CR-2)</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12.00 uur (aantal)</w:t>
      </w:r>
    </w:p>
    <w:p>
      <w:pPr>
        <w:pStyle w:val="ListParagraph"/>
        <w:ind w:left="283"/>
      </w:pPr>
      <w:r>
        <w:rPr>
          <w:sz w:val="20"/>
        </w:rPr>
        <w:t xml:space="preserve"> 2.  □  Geplande exposure-oefening uitgevoerd (ja/nee)</w:t>
      </w:r>
    </w:p>
    <w:p>
      <w:pPr>
        <w:pStyle w:val="ListParagraph"/>
        <w:ind w:left="283"/>
      </w:pPr>
      <w:r>
        <w:rPr>
          <w:sz w:val="20"/>
        </w:rPr>
        <w:t xml:space="preserve"> 3.  □  Rusthartslag bij ontwaken (slagen/min)</w:t>
      </w:r>
    </w:p>
    <w:p>
      <w:pPr>
        <w:pStyle w:val="ListParagraph"/>
        <w:ind w:left="283"/>
      </w:pPr>
      <w:r>
        <w:rPr>
          <w:sz w:val="20"/>
        </w:rPr>
        <w:t xml:space="preserve"> 4.  □  Spierspanning in schouders (0--10)</w:t>
      </w:r>
    </w:p>
    <w:p>
      <w:pPr>
        <w:pStyle w:val="ListParagraph"/>
        <w:ind w:left="283"/>
      </w:pPr>
      <w:r>
        <w:rPr>
          <w:sz w:val="20"/>
        </w:rPr>
        <w:t xml:space="preserve"> 5.  □  Veiligheidsgedrag frequentie (0--10)</w:t>
      </w:r>
    </w:p>
    <w:p>
      <w:pPr>
        <w:pStyle w:val="ListParagraph"/>
        <w:ind w:left="283"/>
      </w:pPr>
      <w:r>
        <w:rPr>
          <w:sz w:val="20"/>
        </w:rPr>
        <w:t xml:space="preserve"> 6.  □  Sociale contacten vandaag (aantal)</w:t>
      </w:r>
    </w:p>
    <w:p>
      <w:pPr>
        <w:pStyle w:val="ListParagraph"/>
        <w:ind w:left="283"/>
      </w:pPr>
      <w:r>
        <w:rPr>
          <w:sz w:val="20"/>
        </w:rPr>
        <w:t xml:space="preserve"> 7.  □  Lichamelijke sensaties zonder reactie geobserveerd (min)</w:t>
      </w:r>
    </w:p>
    <w:p>
      <w:pPr>
        <w:pStyle w:val="ListParagraph"/>
        <w:ind w:left="283"/>
      </w:pPr>
      <w:r>
        <w:rPr>
          <w:sz w:val="20"/>
        </w:rPr>
        <w:t xml:space="preserve"> 8.  □  Stress op het werk (0--10)</w:t>
      </w:r>
    </w:p>
    <w:p>
      <w:pPr>
        <w:pStyle w:val="ListParagraph"/>
        <w:ind w:left="283"/>
      </w:pPr>
      <w:r>
        <w:rPr>
          <w:sz w:val="20"/>
        </w:rPr>
        <w:t xml:space="preserve"> 9.  □  Inslaaptijd afgelopen nacht (min)</w:t>
      </w:r>
    </w:p>
    <w:p>
      <w:pPr>
        <w:pStyle w:val="ListParagraph"/>
        <w:ind w:left="283"/>
      </w:pPr>
      <w:r>
        <w:rPr>
          <w:sz w:val="20"/>
        </w:rPr>
        <w:t>10.  □  Vermijdingssituatie betreden ondanks angst (ja/nee)</w:t>
      </w:r>
    </w:p>
    <w:p>
      <w:pPr>
        <w:pStyle w:val="ListParagraph"/>
        <w:ind w:left="283"/>
      </w:pPr>
      <w:r>
        <w:rPr>
          <w:sz w:val="20"/>
        </w:rPr>
        <w:t>11.  □  Waterinname vandaag (glazen)</w:t>
      </w:r>
    </w:p>
    <w:p>
      <w:pPr>
        <w:pStyle w:val="ListParagraph"/>
        <w:ind w:left="283"/>
      </w:pPr>
      <w:r>
        <w:rPr>
          <w:sz w:val="20"/>
        </w:rPr>
        <w:t>12.  □  Plezier in vrijetijdsactiviteit (0--10)</w:t>
      </w:r>
    </w:p>
    <w:p>
      <w:pPr>
        <w:pStyle w:val="ListParagraph"/>
        <w:ind w:left="283"/>
      </w:pPr>
      <w:r>
        <w:rPr>
          <w:sz w:val="20"/>
        </w:rPr>
        <w:t>13.  □  Aantal dutjes overdag (min)</w:t>
      </w:r>
    </w:p>
    <w:p>
      <w:pPr>
        <w:pStyle w:val="ListParagraph"/>
        <w:ind w:left="283"/>
      </w:pPr>
      <w:r>
        <w:rPr>
          <w:sz w:val="20"/>
        </w:rPr>
        <w:t>14.  □  Eetlust vandaag (0--10)</w:t>
      </w:r>
    </w:p>
    <w:p>
      <w:pPr>
        <w:pStyle w:val="ListParagraph"/>
        <w:ind w:left="283"/>
      </w:pPr>
      <w:r>
        <w:rPr>
          <w:sz w:val="20"/>
        </w:rPr>
        <w:t>15.  □  Anticipatieangst voor gevreesde situatie (0--10)</w:t>
      </w:r>
    </w:p>
    <w:p>
      <w:pPr>
        <w:pStyle w:val="ListParagraph"/>
        <w:ind w:left="283"/>
      </w:pPr>
      <w:r>
        <w:rPr>
          <w:sz w:val="20"/>
        </w:rPr>
        <w:t>16.  □  Stemmingsval in de namiddag (0--10)</w:t>
      </w:r>
    </w:p>
    <w:p>
      <w:pPr>
        <w:pStyle w:val="ListParagraph"/>
        <w:ind w:left="283"/>
      </w:pPr>
      <w:r>
        <w:rPr>
          <w:sz w:val="20"/>
        </w:rPr>
        <w:t>17.  □  Stapelteller vandaag (aantal)</w:t>
      </w:r>
    </w:p>
    <w:p>
      <w:pPr>
        <w:pStyle w:val="ListParagraph"/>
        <w:ind w:left="283"/>
      </w:pPr>
      <w:r>
        <w:rPr>
          <w:sz w:val="20"/>
        </w:rPr>
        <w:t>18.  □  Concentratie tijdens administratie (0--10)</w:t>
      </w:r>
    </w:p>
    <w:p>
      <w:pPr>
        <w:pStyle w:val="ListParagraph"/>
        <w:ind w:left="283"/>
      </w:pPr>
      <w:r>
        <w:rPr>
          <w:sz w:val="20"/>
        </w:rPr>
        <w:t>19.  □  Alcoholinname vanavond (aantal)</w:t>
      </w:r>
    </w:p>
    <w:p>
      <w:pPr>
        <w:pStyle w:val="ListParagraph"/>
        <w:ind w:left="283"/>
      </w:pPr>
      <w:r>
        <w:rPr>
          <w:sz w:val="20"/>
        </w:rPr>
        <w:t>20.  □  Tijd buitenshuis zonder ondersteuning (min)</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C01: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Moeizaam inslapen door een overactieve geest en aanhoudende spanning in de avond.</w:t>
            </w:r>
          </w:p>
        </w:tc>
      </w:tr>
      <w:tr>
        <w:tc>
          <w:tcPr>
            <w:tcW w:type="dxa" w:w="2268"/>
          </w:tcPr>
          <w:p>
            <w:r>
              <w:rPr>
                <w:b/>
                <w:color w:val="047857"/>
                <w:sz w:val="18"/>
              </w:rPr>
              <w:t>Behandeldoel</w:t>
            </w:r>
          </w:p>
        </w:tc>
        <w:tc>
          <w:tcPr>
            <w:tcW w:type="dxa" w:w="4703"/>
          </w:tcPr>
          <w:p>
            <w:r>
              <w:rPr>
                <w:sz w:val="18"/>
              </w:rPr>
              <w:t>Schermtijd in de late avond reduceren en een vaste afschakelroutine installeren.</w:t>
            </w:r>
          </w:p>
        </w:tc>
      </w:tr>
      <w:tr>
        <w:tc>
          <w:tcPr>
            <w:tcW w:type="dxa" w:w="2268"/>
          </w:tcPr>
          <w:p>
            <w:r>
              <w:rPr>
                <w:b/>
                <w:color w:val="047857"/>
                <w:sz w:val="18"/>
              </w:rPr>
              <w:t>Voornaamste barriere</w:t>
            </w:r>
          </w:p>
        </w:tc>
        <w:tc>
          <w:tcPr>
            <w:tcW w:type="dxa" w:w="4703"/>
          </w:tcPr>
          <w:p>
            <w:r>
              <w:rPr>
                <w:sz w:val="18"/>
              </w:rPr>
              <w:t>Lage zelfeffectiviteit: schermgebruik voelt als de enige haalbare manier om na het werk te decomprimeren.</w:t>
            </w:r>
          </w:p>
        </w:tc>
      </w:tr>
      <w:tr>
        <w:tc>
          <w:tcPr>
            <w:tcW w:type="dxa" w:w="2268"/>
          </w:tcPr>
          <w:p>
            <w:r>
              <w:rPr>
                <w:b/>
                <w:color w:val="047857"/>
                <w:sz w:val="18"/>
              </w:rPr>
              <w:t>Copingstrategie</w:t>
            </w:r>
          </w:p>
        </w:tc>
        <w:tc>
          <w:tcPr>
            <w:tcW w:type="dxa" w:w="4703"/>
          </w:tcPr>
          <w:p>
            <w:r>
              <w:rPr>
                <w:sz w:val="18"/>
              </w:rPr>
              <w:t>Implementatie-intentie met substitutie: vervang de laatste 30 minuten schermtijd door een korte schrijf- of bewegingsroutine voor het slapengaan.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C02: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Paniekangst leidt tot toenemende vermijding en duidelijke hinder in het dagelijks functioneren.</w:t>
            </w:r>
          </w:p>
        </w:tc>
      </w:tr>
      <w:tr>
        <w:tc>
          <w:tcPr>
            <w:tcW w:type="dxa" w:w="2268"/>
          </w:tcPr>
          <w:p>
            <w:r>
              <w:rPr>
                <w:b/>
                <w:color w:val="047857"/>
                <w:sz w:val="18"/>
              </w:rPr>
              <w:t>Behandeldoel</w:t>
            </w:r>
          </w:p>
        </w:tc>
        <w:tc>
          <w:tcPr>
            <w:tcW w:type="dxa" w:w="4703"/>
          </w:tcPr>
          <w:p>
            <w:r>
              <w:rPr>
                <w:sz w:val="18"/>
              </w:rPr>
              <w:t>Geplande exposure aan gevreesde situaties in een hanteerbare, stapsgewijze opbouw.</w:t>
            </w:r>
          </w:p>
        </w:tc>
      </w:tr>
      <w:tr>
        <w:tc>
          <w:tcPr>
            <w:tcW w:type="dxa" w:w="2268"/>
          </w:tcPr>
          <w:p>
            <w:r>
              <w:rPr>
                <w:b/>
                <w:color w:val="047857"/>
                <w:sz w:val="18"/>
              </w:rPr>
              <w:t>Voornaamste barriere</w:t>
            </w:r>
          </w:p>
        </w:tc>
        <w:tc>
          <w:tcPr>
            <w:tcW w:type="dxa" w:w="4703"/>
          </w:tcPr>
          <w:p>
            <w:r>
              <w:rPr>
                <w:sz w:val="18"/>
              </w:rPr>
              <w:t>Sterke negatieve uitkomstverwachting: de persoon verwacht dat betreden van de situatie onvermijdelijk tot een onbeheersbare paniekreactie zal leiden.</w:t>
            </w:r>
          </w:p>
        </w:tc>
      </w:tr>
      <w:tr>
        <w:tc>
          <w:tcPr>
            <w:tcW w:type="dxa" w:w="2268"/>
          </w:tcPr>
          <w:p>
            <w:r>
              <w:rPr>
                <w:b/>
                <w:color w:val="047857"/>
                <w:sz w:val="18"/>
              </w:rPr>
              <w:t>Copingstrategie</w:t>
            </w:r>
          </w:p>
        </w:tc>
        <w:tc>
          <w:tcPr>
            <w:tcW w:type="dxa" w:w="4703"/>
          </w:tcPr>
          <w:p>
            <w:r>
              <w:rPr>
                <w:sz w:val="18"/>
              </w:rPr>
              <w:t>Werk met een concrete exposurehiërarchie en een vooraf afgesproken copingzin per stap.</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(C01 en C02).</w:t>
      </w:r>
    </w:p>
    <w:p/>
    <w:p>
      <w:r>
        <w:rPr>
          <w:b/>
          <w:sz w:val="20"/>
        </w:rPr>
        <w:t>Checklist voor terugbezorging -- gelieve alle vakjes af te vinken:</w:t>
      </w:r>
    </w:p>
    <w:p>
      <w:pPr>
        <w:spacing w:after="60"/>
        <w:ind w:left="170"/>
      </w:pPr>
      <w:r>
        <w:rPr>
          <w:sz w:val="20"/>
        </w:rPr>
        <w:t>□   Ik heb in Deel 1 voor beide casussen (C01 en C02)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PHOENIX-PRE-HCP-PRE-01</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