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HCP-PRE-04</w:t>
      </w:r>
      <w:r>
        <w:br/>
      </w:r>
      <w:r>
        <w:rPr>
          <w:sz w:val="20"/>
        </w:rPr>
      </w:r>
      <w:r>
        <w:br/>
      </w:r>
      <w:r>
        <w:rPr>
          <w:sz w:val="20"/>
        </w:rPr>
        <w:t>Toegewezen casussen:</w:t>
      </w:r>
      <w:r>
        <w:br/>
      </w:r>
      <w:r>
        <w:rPr>
          <w:sz w:val="20"/>
        </w:rPr>
        <w:t>C07  (46-jarige accountmanager)</w:t>
      </w:r>
      <w:r>
        <w:br/>
      </w:r>
      <w:r>
        <w:rPr>
          <w:sz w:val="20"/>
        </w:rPr>
        <w:t>en</w:t>
      </w:r>
      <w:r>
        <w:br/>
      </w:r>
      <w:r>
        <w:rPr>
          <w:sz w:val="20"/>
        </w:rPr>
        <w:t>C08  (38-jarige projectmanager)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C07: 46-jarige accountmanager</w:t>
      </w:r>
    </w:p>
    <w:p>
      <w:pPr>
        <w:jc w:val="left"/>
        <w:shd w:val="clear" w:color="auto" w:fill="EFF6FF"/>
      </w:pPr>
      <w:r>
        <w:rPr>
          <w:sz w:val="20"/>
        </w:rPr>
        <w:t>CASUSVIGNET  |  Duur: 14 maanden</w:t>
      </w:r>
      <w:r>
        <w:br/>
      </w:r>
      <w:r>
        <w:rPr>
          <w:sz w:val="20"/>
        </w:rPr>
      </w:r>
      <w:r>
        <w:br/>
      </w:r>
      <w:r>
        <w:rPr>
          <w:sz w:val="20"/>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C08: 38-jarige projectmanager</w:t>
      </w:r>
    </w:p>
    <w:p>
      <w:pPr>
        <w:jc w:val="left"/>
        <w:shd w:val="clear" w:color="auto" w:fill="EFF6FF"/>
      </w:pPr>
      <w:r>
        <w:rPr>
          <w:sz w:val="20"/>
        </w:rPr>
        <w:t>CASUSVIGNET  |  Duur: sinds de kindertijd, duidelijk verergerd in de voorbije 12 maanden</w:t>
      </w:r>
      <w:r>
        <w:br/>
      </w:r>
      <w:r>
        <w:rPr>
          <w:sz w:val="20"/>
        </w:rPr>
      </w:r>
      <w:r>
        <w:br/>
      </w:r>
      <w:r>
        <w:rPr>
          <w:sz w:val="20"/>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C07: Deel 2</w:t>
      </w:r>
    </w:p>
    <w:p>
      <w:pPr>
        <w:jc w:val="left"/>
        <w:shd w:val="clear" w:color="auto" w:fill="EFF6FF"/>
      </w:pPr>
      <w:r>
        <w:rPr>
          <w:sz w:val="20"/>
        </w:rPr>
        <w:t>Casus C07: verkorte klachtomschrijving</w:t>
      </w:r>
      <w:r>
        <w:br/>
      </w:r>
      <w:r>
        <w:rPr>
          <w:sz w:val="20"/>
        </w:rPr>
        <w:t>46-jarige accountmanager; duur: 14 maanden. Aanhoudende sombere stemming, anergie, sociale isolatie en hopeloosheid over herstel.</w:t>
      </w:r>
    </w:p>
    <w:p/>
    <w:p>
      <w:r>
        <w:rPr>
          <w:b/>
          <w:sz w:val="20"/>
        </w:rPr>
        <w:t>Gestandaardiseerde criteria uit stap 1:</w:t>
      </w:r>
    </w:p>
    <w:p>
      <w:pPr>
        <w:pStyle w:val="ListBullet"/>
      </w:pPr>
      <w:r>
        <w:rPr>
          <w:sz w:val="20"/>
        </w:rPr>
        <w:t xml:space="preserve">  CR-1  Aanhoudende sombere stemming</w:t>
      </w:r>
    </w:p>
    <w:p>
      <w:pPr>
        <w:pStyle w:val="ListBullet"/>
      </w:pPr>
      <w:r>
        <w:rPr>
          <w:sz w:val="20"/>
        </w:rPr>
        <w:t xml:space="preserve">  CR-2  Anergie</w:t>
      </w:r>
    </w:p>
    <w:p>
      <w:pPr>
        <w:pStyle w:val="ListBullet"/>
      </w:pPr>
      <w:r>
        <w:rPr>
          <w:sz w:val="20"/>
        </w:rPr>
        <w:t xml:space="preserve">  CR-3  Sociale isolatie</w:t>
      </w:r>
    </w:p>
    <w:p>
      <w:pPr>
        <w:pStyle w:val="ListBullet"/>
      </w:pPr>
      <w:r>
        <w:rPr>
          <w:sz w:val="20"/>
        </w:rPr>
        <w:t xml:space="preserve">  CR-4  Hopeloosheid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C08: Deel 2</w:t>
      </w:r>
    </w:p>
    <w:p>
      <w:pPr>
        <w:jc w:val="left"/>
        <w:shd w:val="clear" w:color="auto" w:fill="EFF6FF"/>
      </w:pPr>
      <w:r>
        <w:rPr>
          <w:sz w:val="20"/>
        </w:rPr>
        <w:t>Casus C08: verkorte klachtomschrijving</w:t>
      </w:r>
      <w:r>
        <w:br/>
      </w:r>
      <w:r>
        <w:rPr>
          <w:sz w:val="20"/>
        </w:rPr>
        <w:t>38-jarige projectmanager; duur: sinds de kindertijd, duidelijk verergerd in de voorbije 12 maanden. Aandachtsvolhoudingsproblemen, plannings- en organisatiefouten, interpersoonlijke onoplettendheid en prestatieschaamte.</w:t>
      </w:r>
    </w:p>
    <w:p/>
    <w:p>
      <w:r>
        <w:rPr>
          <w:b/>
          <w:sz w:val="20"/>
        </w:rPr>
        <w:t>Gestandaardiseerde criteria uit stap 1:</w:t>
      </w:r>
    </w:p>
    <w:p>
      <w:pPr>
        <w:pStyle w:val="ListBullet"/>
      </w:pPr>
      <w:r>
        <w:rPr>
          <w:sz w:val="20"/>
        </w:rPr>
        <w:t xml:space="preserve">  CR-1  Aandachtsvolhoudingsproblemen</w:t>
      </w:r>
    </w:p>
    <w:p>
      <w:pPr>
        <w:pStyle w:val="ListBullet"/>
      </w:pPr>
      <w:r>
        <w:rPr>
          <w:sz w:val="20"/>
        </w:rPr>
        <w:t xml:space="preserve">  CR-2  Plannings- en organisatiefouten</w:t>
      </w:r>
    </w:p>
    <w:p>
      <w:pPr>
        <w:pStyle w:val="ListBullet"/>
      </w:pPr>
      <w:r>
        <w:rPr>
          <w:sz w:val="20"/>
        </w:rPr>
        <w:t xml:space="preserve">  CR-3  Interpersoonlijke onoplettendheid</w:t>
      </w:r>
    </w:p>
    <w:p>
      <w:pPr>
        <w:pStyle w:val="ListBullet"/>
      </w:pPr>
      <w:r>
        <w:rPr>
          <w:sz w:val="20"/>
        </w:rPr>
        <w:t xml:space="preserve">  CR-4  Prestatieschaamte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sterke relatie, blauw = matige relatie). Zie de bijgevoegde PDF voor het kleurrijke netwerkdiagram.</w:t>
      </w:r>
    </w:p>
    <w:p>
      <w:r>
        <w:br w:type="page"/>
      </w:r>
    </w:p>
    <w:p>
      <w:pPr>
        <w:pStyle w:val="Heading2"/>
        <w:jc w:val="left"/>
      </w:pPr>
      <w:r>
        <w:t>Casus C07: Deel 3</w:t>
      </w:r>
    </w:p>
    <w:p>
      <w:pPr>
        <w:jc w:val="left"/>
        <w:shd w:val="clear" w:color="auto" w:fill="EFF6FF"/>
      </w:pPr>
      <w:r>
        <w:rPr>
          <w:sz w:val="20"/>
        </w:rPr>
        <w:t>Casus C07: 46-jarige accountmanager</w:t>
      </w:r>
      <w:r>
        <w:br/>
      </w:r>
      <w:r>
        <w:rPr>
          <w:sz w:val="20"/>
        </w:rPr>
        <w:t>Aanhoudende sombere stemming, anergie, sociale isolatie en hopeloosheid over herstel.  Duur: 14 maanden.</w:t>
      </w:r>
    </w:p>
    <w:p>
      <w:r>
        <w:rPr>
          <w:b/>
          <w:sz w:val="20"/>
        </w:rPr>
        <w:t xml:space="preserve">21-daagse monitoring:  </w:t>
      </w:r>
      <w:r>
        <w:rPr>
          <w:sz w:val="20"/>
        </w:rPr>
        <w:t>Voltooiingsgraad van geplande activiteiten: 28\%. Sociale contactmomenten/week: gem. 0,8. Stemming: gem. 2,9/10. Variatie in slaap-waaktijd: gem. 2,3 uur. Plezierige activiteiten: gem. 0,9/dag. Uitdagen van hopeloze gedachten: gem. 0,6/dag.</w:t>
      </w:r>
    </w:p>
    <w:p/>
    <w:p>
      <w:r>
        <w:rPr>
          <w:b/>
          <w:sz w:val="20"/>
        </w:rPr>
        <w:t>Bipartiet netwerk (zie PDF voor visuele weergave):</w:t>
      </w:r>
    </w:p>
    <w:p>
      <w:r>
        <w:rPr>
          <w:b/>
          <w:color w:val="B91C1C"/>
          <w:sz w:val="18"/>
        </w:rPr>
        <w:t xml:space="preserve">  Sterke relaties (rood):  </w:t>
      </w:r>
      <w:r>
        <w:rPr>
          <w:sz w:val="18"/>
        </w:rPr>
        <w:t>CR-1 (Aanhoudende sombere stemming) &lt;-&gt; P1 (Activiteitenschema),  CR-2 (Anergie) &lt;-&gt; P1 (Activiteitenschema),  CR-3 (Sociale isolatie) &lt;-&gt; P2 (Sociaal initiatief),  CR-1 (Aanhoudende sombere stemming) &lt;-&gt; P4 (Plezierige activiteit),  CR-4 (Hopeloosheid) &lt;-&gt; P5 (Cognitieve tegenspraak hopeloosheid)</w:t>
      </w:r>
    </w:p>
    <w:p>
      <w:r>
        <w:rPr>
          <w:b/>
          <w:color w:val="1D4ED8"/>
          <w:sz w:val="18"/>
        </w:rPr>
        <w:t xml:space="preserve">  Matige relaties (blauw):  </w:t>
      </w:r>
      <w:r>
        <w:rPr>
          <w:sz w:val="18"/>
        </w:rPr>
        <w:t>CR-1 (Aanhoudende sombere stemming) &lt;-&gt; P3 (Slaapregelmaat),  CR-2 (Anergie) &lt;-&gt; P3 (Slaapregelmaat),  CR-4 (Hopeloosheid) &lt;-&gt; P4 (Plezierige activiteit)</w:t>
      </w:r>
    </w:p>
    <w:p/>
    <w:p>
      <w:r>
        <w:rPr>
          <w:sz w:val="20"/>
        </w:rPr>
        <w:t>Beschikbare predictors:  P1: Activiteitenschema,  P2: Sociaal initiatief,  P3: Slaapregelmaat,  P4: Plezierige activiteit,  P5: Cognitieve tegenspraak hopeloosheid</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C08: Deel 3</w:t>
      </w:r>
    </w:p>
    <w:p>
      <w:pPr>
        <w:jc w:val="left"/>
        <w:shd w:val="clear" w:color="auto" w:fill="EFF6FF"/>
      </w:pPr>
      <w:r>
        <w:rPr>
          <w:sz w:val="20"/>
        </w:rPr>
        <w:t>Casus C08: 38-jarige projectmanager</w:t>
      </w:r>
      <w:r>
        <w:br/>
      </w:r>
      <w:r>
        <w:rPr>
          <w:sz w:val="20"/>
        </w:rPr>
        <w:t>Aandachtsvolhoudingsproblemen, plannings- en organisatiefouten, interpersoonlijke onoplettendheid en prestatieschaamte.  Duur: sinds de kindertijd, duidelijk verergerd in de voorbije 12 maanden.</w:t>
      </w:r>
    </w:p>
    <w:p>
      <w:r>
        <w:rPr>
          <w:b/>
          <w:sz w:val="20"/>
        </w:rPr>
        <w:t xml:space="preserve">21-daagse monitoring:  </w:t>
      </w:r>
      <w:r>
        <w:rPr>
          <w:sz w:val="20"/>
        </w:rPr>
        <w:t>Gestarte versus afgewerkte taken: 68\% versus 29\%. Gemiste afspraken of toezeggingen: gem. 2,1/week. Partnerconflicten: gem. 4,7/week. Externe tools gebruikt: gem. 1,8/dag. Positieve zelfbekrachtiging: gem. 0,4/dag.</w:t>
      </w:r>
    </w:p>
    <w:p/>
    <w:p>
      <w:r>
        <w:rPr>
          <w:b/>
          <w:sz w:val="20"/>
        </w:rPr>
        <w:t>Bipartiet netwerk (zie PDF voor visuele weergave):</w:t>
      </w:r>
    </w:p>
    <w:p>
      <w:r>
        <w:rPr>
          <w:b/>
          <w:color w:val="B91C1C"/>
          <w:sz w:val="18"/>
        </w:rPr>
        <w:t xml:space="preserve">  Sterke relaties (rood):  </w:t>
      </w:r>
      <w:r>
        <w:rPr>
          <w:sz w:val="18"/>
        </w:rPr>
        <w:t>CR-2 (Plannings- en organisatiefouten) &lt;-&gt; P1 (Extern taakbeheersysteem),  CR-1 (Aandachtsvolhoudingsproblemen) &lt;-&gt; P1 (Extern taakbeheersysteem),  CR-3 (Interpersoonlijke onoplettendheid) &lt;-&gt; P3 (Bewust luisteren),  CR-4 (Prestatieschaamte) &lt;-&gt; P4 (Taakvoltooiingsbekrachtiging),  CR-2 (Plannings- en organisatiefouten) &lt;-&gt; P5 (Overgangsrituelen)</w:t>
      </w:r>
    </w:p>
    <w:p>
      <w:r>
        <w:rPr>
          <w:b/>
          <w:color w:val="1D4ED8"/>
          <w:sz w:val="18"/>
        </w:rPr>
        <w:t xml:space="preserve">  Matige relaties (blauw):  </w:t>
      </w:r>
      <w:r>
        <w:rPr>
          <w:sz w:val="18"/>
        </w:rPr>
        <w:t>CR-1 (Aandachtsvolhoudingsproblemen) &lt;-&gt; P2 (Interesse-gedreven activatie),  CR-2 (Plannings- en organisatiefouten) &lt;-&gt; P4 (Taakvoltooiingsbekrachtiging)</w:t>
      </w:r>
    </w:p>
    <w:p/>
    <w:p>
      <w:r>
        <w:rPr>
          <w:sz w:val="20"/>
        </w:rPr>
        <w:t>Beschikbare predictors:  P1: Extern taakbeheersysteem,  P2: Interesse-gedreven activatie,  P3: Bewust luisteren,  P4: Taakvoltooiingsbekrachtiging,  P5: Overgangsrituelen</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C07: Deel 4</w:t>
      </w:r>
    </w:p>
    <w:p>
      <w:r>
        <w:rPr>
          <w:b/>
          <w:sz w:val="20"/>
        </w:rPr>
        <w:t>Gestandaardiseerde behandeldoelen uit Deel 3:</w:t>
      </w:r>
    </w:p>
    <w:p>
      <w:pPr>
        <w:pStyle w:val="ListBullet"/>
      </w:pPr>
      <w:r>
        <w:rPr>
          <w:b/>
          <w:sz w:val="18"/>
        </w:rPr>
        <w:t xml:space="preserve">Activiteitenschema  </w:t>
      </w:r>
      <w:r>
        <w:rPr>
          <w:sz w:val="18"/>
        </w:rPr>
        <w:t>(lage voltooiingsgraad (28\%); gedragsactivatie is hier het primaire mechanisme)</w:t>
      </w:r>
    </w:p>
    <w:p>
      <w:pPr>
        <w:pStyle w:val="ListBullet"/>
      </w:pPr>
      <w:r>
        <w:rPr>
          <w:b/>
          <w:sz w:val="18"/>
        </w:rPr>
        <w:t xml:space="preserve">Slaapregelmaat  </w:t>
      </w:r>
      <w:r>
        <w:rPr>
          <w:sz w:val="18"/>
        </w:rPr>
        <w:t>(sterke variatie in slaap-waakritme verstoort stemming en energieregulatie)</w:t>
      </w:r>
    </w:p>
    <w:p>
      <w:pPr>
        <w:pStyle w:val="ListBullet"/>
      </w:pPr>
      <w:r>
        <w:rPr>
          <w:b/>
          <w:sz w:val="18"/>
        </w:rPr>
        <w:t xml:space="preserve">Sociaal initiatief  </w:t>
      </w:r>
      <w:r>
        <w:rPr>
          <w:sz w:val="18"/>
        </w:rPr>
        <w:t>(gemiddeld 0,8 contacten/week; essentieel voor CR-3 en indirect voor stemming)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15.00 uur (aantal)</w:t>
      </w:r>
    </w:p>
    <w:p>
      <w:pPr>
        <w:pStyle w:val="ListParagraph"/>
        <w:ind w:left="283"/>
      </w:pPr>
      <w:r>
        <w:rPr>
          <w:sz w:val="20"/>
        </w:rPr>
        <w:t xml:space="preserve"> 2.  □  Activiteitenschema gevolgd (ja/nee)</w:t>
      </w:r>
    </w:p>
    <w:p>
      <w:pPr>
        <w:pStyle w:val="ListParagraph"/>
        <w:ind w:left="283"/>
      </w:pPr>
      <w:r>
        <w:rPr>
          <w:sz w:val="20"/>
        </w:rPr>
        <w:t xml:space="preserve"> 3.  □  Eetlust in de ochtend (0--10)</w:t>
      </w:r>
    </w:p>
    <w:p>
      <w:pPr>
        <w:pStyle w:val="ListParagraph"/>
        <w:ind w:left="283"/>
      </w:pPr>
      <w:r>
        <w:rPr>
          <w:sz w:val="20"/>
        </w:rPr>
        <w:t xml:space="preserve"> 4.  □  Werkgerelateerd piekeren in de avond (min)</w:t>
      </w:r>
    </w:p>
    <w:p>
      <w:pPr>
        <w:pStyle w:val="ListParagraph"/>
        <w:ind w:left="283"/>
      </w:pPr>
      <w:r>
        <w:rPr>
          <w:sz w:val="20"/>
        </w:rPr>
        <w:t xml:space="preserve"> 5.  □  Slaap-waaktijdvariatie vandaag (min)</w:t>
      </w:r>
    </w:p>
    <w:p>
      <w:pPr>
        <w:pStyle w:val="ListParagraph"/>
        <w:ind w:left="283"/>
      </w:pPr>
      <w:r>
        <w:rPr>
          <w:sz w:val="20"/>
        </w:rPr>
        <w:t xml:space="preserve"> 6.  □  Pijnklachten in de rug (0--10)</w:t>
      </w:r>
    </w:p>
    <w:p>
      <w:pPr>
        <w:pStyle w:val="ListParagraph"/>
        <w:ind w:left="283"/>
      </w:pPr>
      <w:r>
        <w:rPr>
          <w:sz w:val="20"/>
        </w:rPr>
        <w:t xml:space="preserve"> 7.  □  Sociaal contact geinitieerd (ja/nee)</w:t>
      </w:r>
    </w:p>
    <w:p>
      <w:pPr>
        <w:pStyle w:val="ListParagraph"/>
        <w:ind w:left="283"/>
      </w:pPr>
      <w:r>
        <w:rPr>
          <w:sz w:val="20"/>
        </w:rPr>
        <w:t xml:space="preserve"> 8.  □  Tijd op sociale media (min)</w:t>
      </w:r>
    </w:p>
    <w:p>
      <w:pPr>
        <w:pStyle w:val="ListParagraph"/>
        <w:ind w:left="283"/>
      </w:pPr>
      <w:r>
        <w:rPr>
          <w:sz w:val="20"/>
        </w:rPr>
        <w:t xml:space="preserve"> 9.  □  Middagdutje genomen (ja/nee)</w:t>
      </w:r>
    </w:p>
    <w:p>
      <w:pPr>
        <w:pStyle w:val="ListParagraph"/>
        <w:ind w:left="283"/>
      </w:pPr>
      <w:r>
        <w:rPr>
          <w:sz w:val="20"/>
        </w:rPr>
        <w:t>10.  □  Plezierige activiteit voltooid (ja/nee)</w:t>
      </w:r>
    </w:p>
    <w:p>
      <w:pPr>
        <w:pStyle w:val="ListParagraph"/>
        <w:ind w:left="283"/>
      </w:pPr>
      <w:r>
        <w:rPr>
          <w:sz w:val="20"/>
        </w:rPr>
        <w:t>11.  □  Alcoholinname vanavond (aantal)</w:t>
      </w:r>
    </w:p>
    <w:p>
      <w:pPr>
        <w:pStyle w:val="ListParagraph"/>
        <w:ind w:left="283"/>
      </w:pPr>
      <w:r>
        <w:rPr>
          <w:sz w:val="20"/>
        </w:rPr>
        <w:t>12.  □  Concentratie tijdens administratie (0--10)</w:t>
      </w:r>
    </w:p>
    <w:p>
      <w:pPr>
        <w:pStyle w:val="ListParagraph"/>
        <w:ind w:left="283"/>
      </w:pPr>
      <w:r>
        <w:rPr>
          <w:sz w:val="20"/>
        </w:rPr>
        <w:t>13.  □  Aantal maaltijden overgeslagen (aantal)</w:t>
      </w:r>
    </w:p>
    <w:p>
      <w:pPr>
        <w:pStyle w:val="ListParagraph"/>
        <w:ind w:left="283"/>
      </w:pPr>
      <w:r>
        <w:rPr>
          <w:sz w:val="20"/>
        </w:rPr>
        <w:t>14.  □  Hopeloosheidsgedachten uitgedaagd (ja/nee)</w:t>
      </w:r>
    </w:p>
    <w:p>
      <w:pPr>
        <w:pStyle w:val="ListParagraph"/>
        <w:ind w:left="283"/>
      </w:pPr>
      <w:r>
        <w:rPr>
          <w:sz w:val="20"/>
        </w:rPr>
        <w:t>15.  □  Waterinname vandaag (glazen)</w:t>
      </w:r>
    </w:p>
    <w:p>
      <w:pPr>
        <w:pStyle w:val="ListParagraph"/>
        <w:ind w:left="283"/>
      </w:pPr>
      <w:r>
        <w:rPr>
          <w:sz w:val="20"/>
        </w:rPr>
        <w:t>16.  □  Werkuren vandaag (uren)</w:t>
      </w:r>
    </w:p>
    <w:p>
      <w:pPr>
        <w:pStyle w:val="ListParagraph"/>
        <w:ind w:left="283"/>
      </w:pPr>
      <w:r>
        <w:rPr>
          <w:sz w:val="20"/>
        </w:rPr>
        <w:t>17.  □  TV-kijktijd in de avond (min)</w:t>
      </w:r>
    </w:p>
    <w:p>
      <w:pPr>
        <w:pStyle w:val="ListParagraph"/>
        <w:ind w:left="283"/>
      </w:pPr>
      <w:r>
        <w:rPr>
          <w:sz w:val="20"/>
        </w:rPr>
        <w:t>18.  □  Schermtijd na 22.00 uur (min)</w:t>
      </w:r>
    </w:p>
    <w:p>
      <w:pPr>
        <w:pStyle w:val="ListParagraph"/>
        <w:ind w:left="283"/>
      </w:pPr>
      <w:r>
        <w:rPr>
          <w:sz w:val="20"/>
        </w:rPr>
        <w:t>19.  □  Aantal afspraken buitenshuis gepland (aantal)</w:t>
      </w:r>
    </w:p>
    <w:p>
      <w:pPr>
        <w:pStyle w:val="ListParagraph"/>
        <w:ind w:left="283"/>
      </w:pPr>
      <w:r>
        <w:rPr>
          <w:sz w:val="20"/>
        </w:rPr>
        <w:t>20.  □  Ochtendspanning (0--10)</w:t>
      </w:r>
    </w:p>
    <w:p/>
    <w:p>
      <w:r>
        <w:rPr>
          <w:b/>
          <w:sz w:val="20"/>
        </w:rPr>
        <w:t>Totaal geselecteerd: _____ / 5</w:t>
      </w:r>
    </w:p>
    <w:p>
      <w:r>
        <w:br w:type="page"/>
      </w:r>
    </w:p>
    <w:p>
      <w:pPr>
        <w:pStyle w:val="Heading2"/>
        <w:jc w:val="left"/>
      </w:pPr>
      <w:r>
        <w:t>Casus C08: Deel 4</w:t>
      </w:r>
    </w:p>
    <w:p>
      <w:r>
        <w:rPr>
          <w:b/>
          <w:sz w:val="20"/>
        </w:rPr>
        <w:t>Gestandaardiseerde behandeldoelen uit Deel 3:</w:t>
      </w:r>
    </w:p>
    <w:p>
      <w:pPr>
        <w:pStyle w:val="ListBullet"/>
      </w:pPr>
      <w:r>
        <w:rPr>
          <w:b/>
          <w:sz w:val="18"/>
        </w:rPr>
        <w:t xml:space="preserve">Extern taakbeheersysteem  </w:t>
      </w:r>
      <w:r>
        <w:rPr>
          <w:sz w:val="18"/>
        </w:rPr>
        <w:t>(inconsistent gebruik (1,8/dag) terwijl dit de kernscaffolding vormt voor CR-1 en CR-2)</w:t>
      </w:r>
    </w:p>
    <w:p>
      <w:pPr>
        <w:pStyle w:val="ListBullet"/>
      </w:pPr>
      <w:r>
        <w:rPr>
          <w:b/>
          <w:sz w:val="18"/>
        </w:rPr>
        <w:t xml:space="preserve">Bewust luisteren  </w:t>
      </w:r>
      <w:r>
        <w:rPr>
          <w:sz w:val="18"/>
        </w:rPr>
        <w:t>(partnerconflicten zijn frequent; direct relevant voor CR-3)</w:t>
      </w:r>
    </w:p>
    <w:p>
      <w:pPr>
        <w:pStyle w:val="ListBullet"/>
      </w:pPr>
      <w:r>
        <w:rPr>
          <w:b/>
          <w:sz w:val="18"/>
        </w:rPr>
        <w:t xml:space="preserve">Taakvoltooiingsbekrachtiging  </w:t>
      </w:r>
      <w:r>
        <w:rPr>
          <w:sz w:val="18"/>
        </w:rPr>
        <w:t>(bijna afwezig; kan de schaamtecyclus en vermijding doorbreken)</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de middag (aantal)</w:t>
      </w:r>
    </w:p>
    <w:p>
      <w:pPr>
        <w:pStyle w:val="ListParagraph"/>
        <w:ind w:left="283"/>
      </w:pPr>
      <w:r>
        <w:rPr>
          <w:sz w:val="20"/>
        </w:rPr>
        <w:t xml:space="preserve"> 2.  □  Extern taakbeheersysteem geraadpleegd (ja/nee)</w:t>
      </w:r>
    </w:p>
    <w:p>
      <w:pPr>
        <w:pStyle w:val="ListParagraph"/>
        <w:ind w:left="283"/>
      </w:pPr>
      <w:r>
        <w:rPr>
          <w:sz w:val="20"/>
        </w:rPr>
        <w:t xml:space="preserve"> 3.  □  Slaapduur afgelopen nacht (uren)</w:t>
      </w:r>
    </w:p>
    <w:p>
      <w:pPr>
        <w:pStyle w:val="ListParagraph"/>
        <w:ind w:left="283"/>
      </w:pPr>
      <w:r>
        <w:rPr>
          <w:sz w:val="20"/>
        </w:rPr>
        <w:t xml:space="preserve"> 4.  □  Tijd op sociale media tijdens werk (min)</w:t>
      </w:r>
    </w:p>
    <w:p>
      <w:pPr>
        <w:pStyle w:val="ListParagraph"/>
        <w:ind w:left="283"/>
      </w:pPr>
      <w:r>
        <w:rPr>
          <w:sz w:val="20"/>
        </w:rPr>
        <w:t xml:space="preserve"> 5.  □  Spierspanning in de namiddag (0--10)</w:t>
      </w:r>
    </w:p>
    <w:p>
      <w:pPr>
        <w:pStyle w:val="ListParagraph"/>
        <w:ind w:left="283"/>
      </w:pPr>
      <w:r>
        <w:rPr>
          <w:sz w:val="20"/>
        </w:rPr>
        <w:t xml:space="preserve"> 6.  □  Bewust luisteren geoefend (ja/nee)</w:t>
      </w:r>
    </w:p>
    <w:p>
      <w:pPr>
        <w:pStyle w:val="ListParagraph"/>
        <w:ind w:left="283"/>
      </w:pPr>
      <w:r>
        <w:rPr>
          <w:sz w:val="20"/>
        </w:rPr>
        <w:t xml:space="preserve"> 7.  □  Ochtendlichtblootstelling (min)</w:t>
      </w:r>
    </w:p>
    <w:p>
      <w:pPr>
        <w:pStyle w:val="ListParagraph"/>
        <w:ind w:left="283"/>
      </w:pPr>
      <w:r>
        <w:rPr>
          <w:sz w:val="20"/>
        </w:rPr>
        <w:t xml:space="preserve"> 8.  □  Aantal onderbrekingen door notificaties (aantal)</w:t>
      </w:r>
    </w:p>
    <w:p>
      <w:pPr>
        <w:pStyle w:val="ListParagraph"/>
        <w:ind w:left="283"/>
      </w:pPr>
      <w:r>
        <w:rPr>
          <w:sz w:val="20"/>
        </w:rPr>
        <w:t xml:space="preserve"> 9.  □  Taakvoltooiing erkend of beloond (ja/nee)</w:t>
      </w:r>
    </w:p>
    <w:p>
      <w:pPr>
        <w:pStyle w:val="ListParagraph"/>
        <w:ind w:left="283"/>
      </w:pPr>
      <w:r>
        <w:rPr>
          <w:sz w:val="20"/>
        </w:rPr>
        <w:t>10.  □  Emotionele kwetsbaarheid na kritiek (0--10)</w:t>
      </w:r>
    </w:p>
    <w:p>
      <w:pPr>
        <w:pStyle w:val="ListParagraph"/>
        <w:ind w:left="283"/>
      </w:pPr>
      <w:r>
        <w:rPr>
          <w:sz w:val="20"/>
        </w:rPr>
        <w:t>11.  □  Aantal huishoudelijke taken gestart (aantal)</w:t>
      </w:r>
    </w:p>
    <w:p>
      <w:pPr>
        <w:pStyle w:val="ListParagraph"/>
        <w:ind w:left="283"/>
      </w:pPr>
      <w:r>
        <w:rPr>
          <w:sz w:val="20"/>
        </w:rPr>
        <w:t>12.  □  Eetlust rond de lunch (0--10)</w:t>
      </w:r>
    </w:p>
    <w:p>
      <w:pPr>
        <w:pStyle w:val="ListParagraph"/>
        <w:ind w:left="283"/>
      </w:pPr>
      <w:r>
        <w:rPr>
          <w:sz w:val="20"/>
        </w:rPr>
        <w:t>13.  □  Overgangstaak-ritueel gebruikt (ja/nee)</w:t>
      </w:r>
    </w:p>
    <w:p>
      <w:pPr>
        <w:pStyle w:val="ListParagraph"/>
        <w:ind w:left="283"/>
      </w:pPr>
      <w:r>
        <w:rPr>
          <w:sz w:val="20"/>
        </w:rPr>
        <w:t>14.  □  Alcoholinname in de avond (aantal)</w:t>
      </w:r>
    </w:p>
    <w:p>
      <w:pPr>
        <w:pStyle w:val="ListParagraph"/>
        <w:ind w:left="283"/>
      </w:pPr>
      <w:r>
        <w:rPr>
          <w:sz w:val="20"/>
        </w:rPr>
        <w:t>15.  □  Stemmingsschommeling vandaag (0--10)</w:t>
      </w:r>
    </w:p>
    <w:p>
      <w:pPr>
        <w:pStyle w:val="ListParagraph"/>
        <w:ind w:left="283"/>
      </w:pPr>
      <w:r>
        <w:rPr>
          <w:sz w:val="20"/>
        </w:rPr>
        <w:t>16.  □  Stapelteller vandaag (aantal)</w:t>
      </w:r>
    </w:p>
    <w:p>
      <w:pPr>
        <w:pStyle w:val="ListParagraph"/>
        <w:ind w:left="283"/>
      </w:pPr>
      <w:r>
        <w:rPr>
          <w:sz w:val="20"/>
        </w:rPr>
        <w:t>17.  □  Gemaakte toezeggingen nagekomen (0--10)</w:t>
      </w:r>
    </w:p>
    <w:p>
      <w:pPr>
        <w:pStyle w:val="ListParagraph"/>
        <w:ind w:left="283"/>
      </w:pPr>
      <w:r>
        <w:rPr>
          <w:sz w:val="20"/>
        </w:rPr>
        <w:t>18.  □  Middagdutje genomen (ja/nee)</w:t>
      </w:r>
    </w:p>
    <w:p>
      <w:pPr>
        <w:pStyle w:val="ListParagraph"/>
        <w:ind w:left="283"/>
      </w:pPr>
      <w:r>
        <w:rPr>
          <w:sz w:val="20"/>
        </w:rPr>
        <w:t>19.  □  Schermtijd na 22.00 uur (min)</w:t>
      </w:r>
    </w:p>
    <w:p>
      <w:pPr>
        <w:pStyle w:val="ListParagraph"/>
        <w:ind w:left="283"/>
      </w:pPr>
      <w:r>
        <w:rPr>
          <w:sz w:val="20"/>
        </w:rPr>
        <w:t>20.  □  Plezier in vrijetijdsbesteding (0--10)</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C07: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Langdurige sombere stemming en anergie hebben activiteit en sociale verbinding sterk doen afnemen.</w:t>
            </w:r>
          </w:p>
        </w:tc>
      </w:tr>
      <w:tr>
        <w:tc>
          <w:tcPr>
            <w:tcW w:type="dxa" w:w="2268"/>
          </w:tcPr>
          <w:p>
            <w:r>
              <w:rPr>
                <w:b/>
                <w:color w:val="047857"/>
                <w:sz w:val="18"/>
              </w:rPr>
              <w:t>Behandeldoel</w:t>
            </w:r>
          </w:p>
        </w:tc>
        <w:tc>
          <w:tcPr>
            <w:tcW w:type="dxa" w:w="4703"/>
          </w:tcPr>
          <w:p>
            <w:r>
              <w:rPr>
                <w:sz w:val="18"/>
              </w:rPr>
              <w:t>Dagelijks een klein, gepland gedrag uitvoeren als onderdeel van gedragsactivatie.</w:t>
            </w:r>
          </w:p>
        </w:tc>
      </w:tr>
      <w:tr>
        <w:tc>
          <w:tcPr>
            <w:tcW w:type="dxa" w:w="2268"/>
          </w:tcPr>
          <w:p>
            <w:r>
              <w:rPr>
                <w:b/>
                <w:color w:val="047857"/>
                <w:sz w:val="18"/>
              </w:rPr>
              <w:t>Voornaamste barriere</w:t>
            </w:r>
          </w:p>
        </w:tc>
        <w:tc>
          <w:tcPr>
            <w:tcW w:type="dxa" w:w="4703"/>
          </w:tcPr>
          <w:p>
            <w:r>
              <w:rPr>
                <w:sz w:val="18"/>
              </w:rPr>
              <w:t>Planningsdrempel en betekenisverlies: activiteiten voelen vooraf nutteloos en te zwaar.</w:t>
            </w:r>
          </w:p>
        </w:tc>
      </w:tr>
      <w:tr>
        <w:tc>
          <w:tcPr>
            <w:tcW w:type="dxa" w:w="2268"/>
          </w:tcPr>
          <w:p>
            <w:r>
              <w:rPr>
                <w:b/>
                <w:color w:val="047857"/>
                <w:sz w:val="18"/>
              </w:rPr>
              <w:t>Copingstrategie</w:t>
            </w:r>
          </w:p>
        </w:tc>
        <w:tc>
          <w:tcPr>
            <w:tcW w:type="dxa" w:w="4703"/>
          </w:tcPr>
          <w:p>
            <w:r>
              <w:rPr>
                <w:sz w:val="18"/>
              </w:rPr>
              <w:t>Werk met een vooraf gekozen micro-activiteit en een 'klaar is genoeg'-criterium.</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C08: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Executieve functieproblemen zorgen voor taakfalen, relationele spanning en aanhoudende schaamte.</w:t>
            </w:r>
          </w:p>
        </w:tc>
      </w:tr>
      <w:tr>
        <w:tc>
          <w:tcPr>
            <w:tcW w:type="dxa" w:w="2268"/>
          </w:tcPr>
          <w:p>
            <w:r>
              <w:rPr>
                <w:b/>
                <w:color w:val="047857"/>
                <w:sz w:val="18"/>
              </w:rPr>
              <w:t>Behandeldoel</w:t>
            </w:r>
          </w:p>
        </w:tc>
        <w:tc>
          <w:tcPr>
            <w:tcW w:type="dxa" w:w="4703"/>
          </w:tcPr>
          <w:p>
            <w:r>
              <w:rPr>
                <w:sz w:val="18"/>
              </w:rPr>
              <w:t>Een extern taakbeheersysteem consequent raadplegen en successen expliciet bekrachtigen.</w:t>
            </w:r>
          </w:p>
        </w:tc>
      </w:tr>
      <w:tr>
        <w:tc>
          <w:tcPr>
            <w:tcW w:type="dxa" w:w="2268"/>
          </w:tcPr>
          <w:p>
            <w:r>
              <w:rPr>
                <w:b/>
                <w:color w:val="047857"/>
                <w:sz w:val="18"/>
              </w:rPr>
              <w:t>Voornaamste barriere</w:t>
            </w:r>
          </w:p>
        </w:tc>
        <w:tc>
          <w:tcPr>
            <w:tcW w:type="dxa" w:w="4703"/>
          </w:tcPr>
          <w:p>
            <w:r>
              <w:rPr>
                <w:sz w:val="18"/>
              </w:rPr>
              <w:t>Gewoonteweerstand en lage volhoudingsverwachting: eerdere systemen werden snel losgelaten.</w:t>
            </w:r>
          </w:p>
        </w:tc>
      </w:tr>
      <w:tr>
        <w:tc>
          <w:tcPr>
            <w:tcW w:type="dxa" w:w="2268"/>
          </w:tcPr>
          <w:p>
            <w:r>
              <w:rPr>
                <w:b/>
                <w:color w:val="047857"/>
                <w:sz w:val="18"/>
              </w:rPr>
              <w:t>Copingstrategie</w:t>
            </w:r>
          </w:p>
        </w:tc>
        <w:tc>
          <w:tcPr>
            <w:tcW w:type="dxa" w:w="4703"/>
          </w:tcPr>
          <w:p>
            <w:r>
              <w:rPr>
                <w:sz w:val="18"/>
              </w:rPr>
              <w:t>Installeer een minimale, dagelijks terugkerende check-in en koppel afgeronde taken aan een expliciete bevestiging.</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(C07 en C08).</w:t>
      </w:r>
    </w:p>
    <w:p/>
    <w:p>
      <w:r>
        <w:rPr>
          <w:b/>
          <w:sz w:val="20"/>
        </w:rPr>
        <w:t>Checklist voor terugbezorging -- gelieve alle vakjes af te vinken:</w:t>
      </w:r>
    </w:p>
    <w:p>
      <w:pPr>
        <w:spacing w:after="60"/>
        <w:ind w:left="170"/>
      </w:pPr>
      <w:r>
        <w:rPr>
          <w:sz w:val="20"/>
        </w:rPr>
        <w:t>□   Ik heb in Deel 1 voor beide casussen (C07 en C08)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PHOENIX-PRE-HCP-PRE-04</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