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HCP-PRE-02</w:t>
      </w:r>
      <w:r>
        <w:br/>
      </w:r>
      <w:r>
        <w:rPr>
          <w:sz w:val="20"/>
        </w:rPr>
      </w:r>
      <w:r>
        <w:br/>
      </w:r>
      <w:r>
        <w:rPr>
          <w:sz w:val="20"/>
        </w:rPr>
        <w:t>Toegewezen casussen:</w:t>
      </w:r>
      <w:r>
        <w:br/>
      </w:r>
      <w:r>
        <w:rPr>
          <w:sz w:val="20"/>
        </w:rPr>
        <w:t>Casus 1  (41-jarige leraar secundair onderwijs)</w:t>
      </w:r>
      <w:r>
        <w:br/>
      </w:r>
      <w:r>
        <w:rPr>
          <w:sz w:val="20"/>
        </w:rPr>
        <w:t>en</w:t>
      </w:r>
      <w:r>
        <w:br/>
      </w:r>
      <w:r>
        <w:rPr>
          <w:sz w:val="20"/>
        </w:rPr>
        <w:t>Casus 2  (63-jarige gepensioneerde professional)</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41-jarige leraar secundair onderwijs</w:t>
      </w:r>
    </w:p>
    <w:p>
      <w:pPr>
        <w:jc w:val="left"/>
        <w:shd w:val="clear" w:color="auto" w:fill="EFF6FF"/>
      </w:pPr>
      <w:r>
        <w:rPr>
          <w:sz w:val="20"/>
        </w:rPr>
        <w:t>CASUSVIGNET  |  Duur: 7 maanden</w:t>
      </w:r>
      <w:r>
        <w:br/>
      </w:r>
      <w:r>
        <w:rPr>
          <w:sz w:val="20"/>
        </w:rPr>
      </w:r>
      <w:r>
        <w:br/>
      </w:r>
      <w:r>
        <w:rPr>
          <w:sz w:val="20"/>
        </w:rPr>
        <w:t>``Ik geef al vijftien jaar les en deed dat altijd graag, maar de voorbije maanden voel ik mij volledig leeg. Ik ga naar school, geef mijn lessen en kom thuis, maar er is niets meer over. 's Avonds zit ik voor de televisie en kan ik mij nergens toe aanzetten. Ik ben ook gestopt met afspreken met vrienden en reageer nog zelden op berichten. Op het werk begin ik fouten te maken -- dingen vergeten, de draad kwijt raken tijdens een les -- wat vroeger nooit gebeurde. Ik schaam mij daarvoor, maar ik weet niet hoe ik dit moet keren.''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63-jarige gepensioneerde professional</w:t>
      </w:r>
    </w:p>
    <w:p>
      <w:pPr>
        <w:jc w:val="left"/>
        <w:shd w:val="clear" w:color="auto" w:fill="EFF6FF"/>
      </w:pPr>
      <w:r>
        <w:rPr>
          <w:sz w:val="20"/>
        </w:rPr>
        <w:t>CASUSVIGNET  |  Duur: 9 maanden na overlijden van partner</w:t>
      </w:r>
      <w:r>
        <w:br/>
      </w:r>
      <w:r>
        <w:rPr>
          <w:sz w:val="20"/>
        </w:rPr>
      </w:r>
      <w:r>
        <w:br/>
      </w:r>
      <w:r>
        <w:rPr>
          <w:sz w:val="20"/>
        </w:rPr>
        <w:t>``Mijn partner is negen maanden geleden overleden en ik geraak daar nog steeds niet door. Ik denk voortdurend aan hem of haar. Kleine prikkels -- een liedje, een geur, een televisieprogramma dat we samen bekeken -- lokken intense golven van verdriet uit die ik niet onder controle krijg. Ik slaap slecht; ik word vroeg wakker en raak daarna niet meer in slaap. Daarnaast voel ik veel schuld. Ik blijf maar herhalen wat ik had moeten zeggen of anders had moeten doen. Ik kan mij ook nauwelijks voorstellen hoe mijn toekomst er nog betekenisvol kan uitzien. Mijn familie zegt dat het al beter zou moeten gaan, maar zo voelt het niet.''</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41-jarige leraar secundair onderwijs -- Deel 2</w:t>
      </w:r>
    </w:p>
    <w:p>
      <w:pPr>
        <w:jc w:val="left"/>
        <w:shd w:val="clear" w:color="auto" w:fill="EFF6FF"/>
      </w:pPr>
      <w:r>
        <w:rPr>
          <w:sz w:val="20"/>
        </w:rPr>
        <w:t>Casus 1: verkorte klachtomschrijving</w:t>
      </w:r>
      <w:r>
        <w:br/>
      </w:r>
      <w:r>
        <w:rPr>
          <w:sz w:val="20"/>
        </w:rPr>
        <w:t>41-jarige leraar secundair onderwijs; duur: 7 maanden. Emotionele uitputting, professionele depersonalisatie, sociale terugtrekking en cognitieve fouten op het werk.</w:t>
      </w:r>
    </w:p>
    <w:p/>
    <w:p>
      <w:r>
        <w:rPr>
          <w:b/>
          <w:sz w:val="20"/>
        </w:rPr>
        <w:t>Gestandaardiseerde criteria uit stap 1:</w:t>
      </w:r>
    </w:p>
    <w:p>
      <w:pPr>
        <w:pStyle w:val="ListBullet"/>
      </w:pPr>
      <w:r>
        <w:rPr>
          <w:sz w:val="20"/>
        </w:rPr>
        <w:t xml:space="preserve">  CR-1  Emotionele uitputting</w:t>
      </w:r>
    </w:p>
    <w:p>
      <w:pPr>
        <w:pStyle w:val="ListBullet"/>
      </w:pPr>
      <w:r>
        <w:rPr>
          <w:sz w:val="20"/>
        </w:rPr>
        <w:t xml:space="preserve">  CR-2  Professionele depersonalisatie</w:t>
      </w:r>
    </w:p>
    <w:p>
      <w:pPr>
        <w:pStyle w:val="ListBullet"/>
      </w:pPr>
      <w:r>
        <w:rPr>
          <w:sz w:val="20"/>
        </w:rPr>
        <w:t xml:space="preserve">  CR-3  Sociale terugtrekking</w:t>
      </w:r>
    </w:p>
    <w:p>
      <w:pPr>
        <w:pStyle w:val="ListBullet"/>
      </w:pPr>
      <w:r>
        <w:rPr>
          <w:sz w:val="20"/>
        </w:rPr>
        <w:t xml:space="preserve">  CR-4  Cognitieve fouten op het werk</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63-jarige gepensioneerde professional -- Deel 2</w:t>
      </w:r>
    </w:p>
    <w:p>
      <w:pPr>
        <w:jc w:val="left"/>
        <w:shd w:val="clear" w:color="auto" w:fill="EFF6FF"/>
      </w:pPr>
      <w:r>
        <w:rPr>
          <w:sz w:val="20"/>
        </w:rPr>
        <w:t>Casus 2: verkorte klachtomschrijving</w:t>
      </w:r>
      <w:r>
        <w:br/>
      </w:r>
      <w:r>
        <w:rPr>
          <w:sz w:val="20"/>
        </w:rPr>
        <w:t>63-jarige gepensioneerde professional; duur: 9 maanden na overlijden van partner. Aanhoudende rouwreactie, doorslaapinsomnie, schuldgedreven ruminatie en verminderde toekomstorientatie.</w:t>
      </w:r>
    </w:p>
    <w:p/>
    <w:p>
      <w:r>
        <w:rPr>
          <w:b/>
          <w:sz w:val="20"/>
        </w:rPr>
        <w:t>Gestandaardiseerde criteria uit stap 1:</w:t>
      </w:r>
    </w:p>
    <w:p>
      <w:pPr>
        <w:pStyle w:val="ListBullet"/>
      </w:pPr>
      <w:r>
        <w:rPr>
          <w:sz w:val="20"/>
        </w:rPr>
        <w:t xml:space="preserve">  CR-1  Aanhoudende rouwreactie</w:t>
      </w:r>
    </w:p>
    <w:p>
      <w:pPr>
        <w:pStyle w:val="ListBullet"/>
      </w:pPr>
      <w:r>
        <w:rPr>
          <w:sz w:val="20"/>
        </w:rPr>
        <w:t xml:space="preserve">  CR-2  Doorslaapinsomnie</w:t>
      </w:r>
    </w:p>
    <w:p>
      <w:pPr>
        <w:pStyle w:val="ListBullet"/>
      </w:pPr>
      <w:r>
        <w:rPr>
          <w:sz w:val="20"/>
        </w:rPr>
        <w:t xml:space="preserve">  CR-3  Schuldgedreven ruminatie</w:t>
      </w:r>
    </w:p>
    <w:p>
      <w:pPr>
        <w:pStyle w:val="ListBullet"/>
      </w:pPr>
      <w:r>
        <w:rPr>
          <w:sz w:val="20"/>
        </w:rPr>
        <w:t xml:space="preserve">  CR-4  Verminderde toekomstorientatie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(blauw = positief verband, rood = negatief verband; lijndikte ∝ |w|, genormaliseerd binnen elk netwerk).</w:t>
      </w:r>
    </w:p>
    <w:p>
      <w:r>
        <w:br w:type="page"/>
      </w:r>
    </w:p>
    <w:p>
      <w:pPr>
        <w:pStyle w:val="Heading2"/>
        <w:jc w:val="left"/>
      </w:pPr>
      <w:r>
        <w:t>Casus 1: 41-jarige leraar secundair onderwijs -- Deel 3</w:t>
      </w:r>
    </w:p>
    <w:p>
      <w:pPr>
        <w:jc w:val="left"/>
        <w:shd w:val="clear" w:color="auto" w:fill="EFF6FF"/>
      </w:pPr>
      <w:r>
        <w:rPr>
          <w:sz w:val="20"/>
        </w:rPr>
        <w:t>Casus 1: 41-jarige leraar secundair onderwijs</w:t>
      </w:r>
      <w:r>
        <w:br/>
      </w:r>
      <w:r>
        <w:rPr>
          <w:sz w:val="20"/>
        </w:rPr>
        <w:t>Emotionele uitputting, professionele depersonalisatie, sociale terugtrekking en cognitieve fouten op het werk.  Duur: 7 maanden.</w:t>
      </w:r>
    </w:p>
    <w:p>
      <w:r>
        <w:rPr>
          <w:b/>
          <w:sz w:val="20"/>
        </w:rPr>
        <w:t xml:space="preserve">21-daagse monitoring:  </w:t>
      </w:r>
      <w:r>
        <w:rPr>
          <w:sz w:val="20"/>
        </w:rPr>
        <w:t>Werkoverschrijding na werktijd: gem. 5,4 episodes/dag. Herstelactiviteiten: gem. 1,2/week. Sociaal contact op eigen initiatief: gem. 0,7/week. Professionele meestervaringen: gem. 0,9/dag. Slaapkwaliteit: gem. 4,1/10.</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488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120640" cy="3654881"/>
                    </a:xfrm>
                    <a:prstGeom prst="rect"/>
                  </pic:spPr>
                </pic:pic>
              </a:graphicData>
            </a:graphic>
          </wp:inline>
        </w:drawing>
      </w:r>
    </w:p>
    <w:p/>
    <w:p>
      <w:r>
        <w:rPr>
          <w:sz w:val="20"/>
        </w:rPr>
        <w:t>Beschikbare predictors:  P1: Werk-privegrens,  P2: Herstelactiviteit,  P3: Sociaal initiatief,  P4: Professionele meestervaring,  P5: Slaapkwaliteit</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63-jarige gepensioneerde professional -- Deel 3</w:t>
      </w:r>
    </w:p>
    <w:p>
      <w:pPr>
        <w:jc w:val="left"/>
        <w:shd w:val="clear" w:color="auto" w:fill="EFF6FF"/>
      </w:pPr>
      <w:r>
        <w:rPr>
          <w:sz w:val="20"/>
        </w:rPr>
        <w:t>Casus 2: 63-jarige gepensioneerde professional</w:t>
      </w:r>
      <w:r>
        <w:br/>
      </w:r>
      <w:r>
        <w:rPr>
          <w:sz w:val="20"/>
        </w:rPr>
        <w:t>Aanhoudende rouwreactie, doorslaapinsomnie, schuldgedreven ruminatie en verminderde toekomstorientatie.  Duur: 9 maanden na overlijden van partner.</w:t>
      </w:r>
    </w:p>
    <w:p>
      <w:r>
        <w:rPr>
          <w:b/>
          <w:sz w:val="20"/>
        </w:rPr>
        <w:t xml:space="preserve">21-daagse monitoring:  </w:t>
      </w:r>
      <w:r>
        <w:rPr>
          <w:sz w:val="20"/>
        </w:rPr>
        <w:t>Rouwintrusies: gem. 4,2/dag. Slaapkwaliteit: gem. 2,8/10. Sociale contactmomenten: gem. 3,1/week. Schuldgedachten: gem. 5,8/dag. Toekomstgerichte activiteiten: gem. 0,4/week. Betekenisgerichte activiteit uitgevoerd: 4/21 dagen.</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76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3657600"/>
                    </a:xfrm>
                    <a:prstGeom prst="rect"/>
                  </pic:spPr>
                </pic:pic>
              </a:graphicData>
            </a:graphic>
          </wp:inline>
        </w:drawing>
      </w:r>
    </w:p>
    <w:p/>
    <w:p>
      <w:r>
        <w:rPr>
          <w:sz w:val="20"/>
        </w:rPr>
        <w:t>Beschikbare predictors:  P1: Betekenisgerichte activiteit,  P2: Slaap-waakconsistentie,  P3: Sociale steunopname,  P4: Zelfcompassie,  P5: Toekomstplanning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1: 41-jarige leraar secundair onderwijs -- Deel 4</w:t>
      </w:r>
    </w:p>
    <w:p>
      <w:r>
        <w:rPr>
          <w:b/>
          <w:sz w:val="20"/>
        </w:rPr>
        <w:t>Gestandaardiseerde behandeldoelen uit Deel 3:</w:t>
      </w:r>
    </w:p>
    <w:p>
      <w:pPr>
        <w:pStyle w:val="ListBullet"/>
      </w:pPr>
      <w:r>
        <w:rPr>
          <w:b/>
          <w:sz w:val="18"/>
        </w:rPr>
        <w:t xml:space="preserve">Werk-privegrens  </w:t>
      </w:r>
      <w:r>
        <w:rPr>
          <w:sz w:val="18"/>
        </w:rPr>
        <w:t>(sterkste onderhoudende factor voor uitputting; frequente overschrijding na werktijd)</w:t>
      </w:r>
    </w:p>
    <w:p>
      <w:pPr>
        <w:pStyle w:val="ListBullet"/>
      </w:pPr>
      <w:r>
        <w:rPr>
          <w:b/>
          <w:sz w:val="18"/>
        </w:rPr>
        <w:t xml:space="preserve">Herstelactiviteit  </w:t>
      </w:r>
      <w:r>
        <w:rPr>
          <w:sz w:val="18"/>
        </w:rPr>
        <w:t>(kritisch laag niveau (1,2/week); relevant voor CR-1 en CR-3)</w:t>
      </w:r>
    </w:p>
    <w:p>
      <w:pPr>
        <w:pStyle w:val="ListBullet"/>
      </w:pPr>
      <w:r>
        <w:rPr>
          <w:b/>
          <w:sz w:val="18"/>
        </w:rPr>
        <w:t xml:space="preserve">Professionele meestervaring  </w:t>
      </w:r>
      <w:r>
        <w:rPr>
          <w:sz w:val="18"/>
        </w:rPr>
        <w:t>(kan depersonalisatie temperen en dag-tot-dag positieve variatie benutten)</w:t>
      </w:r>
    </w:p>
    <w:p/>
    <w:p>
      <w:r>
        <w:rPr>
          <w:b/>
          <w:sz w:val="20"/>
        </w:rPr>
        <w:t>Opdracht: selecteer EXACT 5 EMA-items die het best passen als volgende subpredictoren. Vink de 5 geselecteerde items aan.</w:t>
      </w:r>
    </w:p>
    <w:p/>
    <w:p>
      <w:pPr>
        <w:pStyle w:val="ListParagraph"/>
        <w:ind w:left="283"/>
      </w:pPr>
      <w:r>
        <w:rPr>
          <w:sz w:val="20"/>
        </w:rPr>
        <w:t xml:space="preserve"> 1.  □  Aantal huishoudelijke taken voltooid (aantal)</w:t>
      </w:r>
    </w:p>
    <w:p>
      <w:pPr>
        <w:pStyle w:val="ListParagraph"/>
        <w:ind w:left="283"/>
      </w:pPr>
      <w:r>
        <w:rPr>
          <w:sz w:val="20"/>
        </w:rPr>
        <w:t xml:space="preserve"> 2.  □  Werkoverschrijding na werktijd (min)</w:t>
      </w:r>
    </w:p>
    <w:p>
      <w:pPr>
        <w:pStyle w:val="ListParagraph"/>
        <w:ind w:left="283"/>
      </w:pPr>
      <w:r>
        <w:rPr>
          <w:sz w:val="20"/>
        </w:rPr>
        <w:t xml:space="preserve"> 3.  □  Piekeren over gezinszaken in de avond (0--10)</w:t>
      </w:r>
    </w:p>
    <w:p>
      <w:pPr>
        <w:pStyle w:val="ListParagraph"/>
        <w:ind w:left="283"/>
      </w:pPr>
      <w:r>
        <w:rPr>
          <w:sz w:val="20"/>
        </w:rPr>
        <w:t xml:space="preserve"> 4.  □  Cafeine-inname na 15.00 uur (aantal)</w:t>
      </w:r>
    </w:p>
    <w:p>
      <w:pPr>
        <w:pStyle w:val="ListParagraph"/>
        <w:ind w:left="283"/>
      </w:pPr>
      <w:r>
        <w:rPr>
          <w:sz w:val="20"/>
        </w:rPr>
        <w:t xml:space="preserve"> 5.  □  Herstelactiviteit vandaag uitgevoerd (ja/nee)</w:t>
      </w:r>
    </w:p>
    <w:p>
      <w:pPr>
        <w:pStyle w:val="ListParagraph"/>
        <w:ind w:left="283"/>
      </w:pPr>
      <w:r>
        <w:rPr>
          <w:sz w:val="20"/>
        </w:rPr>
        <w:t xml:space="preserve"> 6.  □  Aantal lesuren vandaag (uren)</w:t>
      </w:r>
    </w:p>
    <w:p>
      <w:pPr>
        <w:pStyle w:val="ListParagraph"/>
        <w:ind w:left="283"/>
      </w:pPr>
      <w:r>
        <w:rPr>
          <w:sz w:val="20"/>
        </w:rPr>
        <w:t xml:space="preserve"> 7.  □  Eetlust bij avondmaal (0--10)</w:t>
      </w:r>
    </w:p>
    <w:p>
      <w:pPr>
        <w:pStyle w:val="ListParagraph"/>
        <w:ind w:left="283"/>
      </w:pPr>
      <w:r>
        <w:rPr>
          <w:sz w:val="20"/>
        </w:rPr>
        <w:t xml:space="preserve"> 8.  □  Professionele meestervaring vandaag (0--10)</w:t>
      </w:r>
    </w:p>
    <w:p>
      <w:pPr>
        <w:pStyle w:val="ListParagraph"/>
        <w:ind w:left="283"/>
      </w:pPr>
      <w:r>
        <w:rPr>
          <w:sz w:val="20"/>
        </w:rPr>
        <w:t xml:space="preserve"> 9.  □  Ochtendspanning bij ontwaken (0--10)</w:t>
      </w:r>
    </w:p>
    <w:p>
      <w:pPr>
        <w:pStyle w:val="ListParagraph"/>
        <w:ind w:left="283"/>
      </w:pPr>
      <w:r>
        <w:rPr>
          <w:sz w:val="20"/>
        </w:rPr>
        <w:t>10.  □  Aantal nieuwschecks in de avond (aantal)</w:t>
      </w:r>
    </w:p>
    <w:p>
      <w:pPr>
        <w:pStyle w:val="ListParagraph"/>
        <w:ind w:left="283"/>
      </w:pPr>
      <w:r>
        <w:rPr>
          <w:sz w:val="20"/>
        </w:rPr>
        <w:t>11.  □  Slaapkwaliteit bij ontwaken (0--10)</w:t>
      </w:r>
    </w:p>
    <w:p>
      <w:pPr>
        <w:pStyle w:val="ListParagraph"/>
        <w:ind w:left="283"/>
      </w:pPr>
      <w:r>
        <w:rPr>
          <w:sz w:val="20"/>
        </w:rPr>
        <w:t>12.  □  Lichamelijke pijnklachten na het werk (0--10)</w:t>
      </w:r>
    </w:p>
    <w:p>
      <w:pPr>
        <w:pStyle w:val="ListParagraph"/>
        <w:ind w:left="283"/>
      </w:pPr>
      <w:r>
        <w:rPr>
          <w:sz w:val="20"/>
        </w:rPr>
        <w:t>13.  □  Administratieve achterstand (0--10)</w:t>
      </w:r>
    </w:p>
    <w:p>
      <w:pPr>
        <w:pStyle w:val="ListParagraph"/>
        <w:ind w:left="283"/>
      </w:pPr>
      <w:r>
        <w:rPr>
          <w:sz w:val="20"/>
        </w:rPr>
        <w:t>14.  □  Reistijd woon-werk (min)</w:t>
      </w:r>
    </w:p>
    <w:p>
      <w:pPr>
        <w:pStyle w:val="ListParagraph"/>
        <w:ind w:left="283"/>
      </w:pPr>
      <w:r>
        <w:rPr>
          <w:sz w:val="20"/>
        </w:rPr>
        <w:t>15.  □  Middagdutje genomen (ja/nee)</w:t>
      </w:r>
    </w:p>
    <w:p>
      <w:pPr>
        <w:pStyle w:val="ListParagraph"/>
        <w:ind w:left="283"/>
      </w:pPr>
      <w:r>
        <w:rPr>
          <w:sz w:val="20"/>
        </w:rPr>
        <w:t>16.  □  Sociaal contact op eigen initiatief (ja/nee)</w:t>
      </w:r>
    </w:p>
    <w:p>
      <w:pPr>
        <w:pStyle w:val="ListParagraph"/>
        <w:ind w:left="283"/>
      </w:pPr>
      <w:r>
        <w:rPr>
          <w:sz w:val="20"/>
        </w:rPr>
        <w:t>17.  □  Aantal maaltijden overgeslagen (aantal)</w:t>
      </w:r>
    </w:p>
    <w:p>
      <w:pPr>
        <w:pStyle w:val="ListParagraph"/>
        <w:ind w:left="283"/>
      </w:pPr>
      <w:r>
        <w:rPr>
          <w:sz w:val="20"/>
        </w:rPr>
        <w:t>18.  □  Schermtijd in de late avond (min)</w:t>
      </w:r>
    </w:p>
    <w:p>
      <w:pPr>
        <w:pStyle w:val="ListParagraph"/>
        <w:ind w:left="283"/>
      </w:pPr>
      <w:r>
        <w:rPr>
          <w:sz w:val="20"/>
        </w:rPr>
        <w:t>19.  □  Irritatie tegenover collega's (0--10)</w:t>
      </w:r>
    </w:p>
    <w:p>
      <w:pPr>
        <w:pStyle w:val="ListParagraph"/>
        <w:ind w:left="283"/>
      </w:pPr>
      <w:r>
        <w:rPr>
          <w:sz w:val="20"/>
        </w:rPr>
        <w:t>20.  □  Weekendplanning opgesteld (ja/nee)</w:t>
      </w:r>
    </w:p>
    <w:p/>
    <w:p>
      <w:r>
        <w:rPr>
          <w:b/>
          <w:sz w:val="20"/>
        </w:rPr>
        <w:t>Totaal geselecteerd: _____ / 5</w:t>
      </w:r>
    </w:p>
    <w:p>
      <w:r>
        <w:br w:type="page"/>
      </w:r>
    </w:p>
    <w:p>
      <w:pPr>
        <w:pStyle w:val="Heading2"/>
        <w:jc w:val="left"/>
      </w:pPr>
      <w:r>
        <w:t>Casus 2: 63-jarige gepensioneerde professional -- Deel 4</w:t>
      </w:r>
    </w:p>
    <w:p>
      <w:r>
        <w:rPr>
          <w:b/>
          <w:sz w:val="20"/>
        </w:rPr>
        <w:t>Gestandaardiseerde behandeldoelen uit Deel 3:</w:t>
      </w:r>
    </w:p>
    <w:p>
      <w:pPr>
        <w:pStyle w:val="ListBullet"/>
      </w:pPr>
      <w:r>
        <w:rPr>
          <w:b/>
          <w:sz w:val="18"/>
        </w:rPr>
        <w:t xml:space="preserve">Betekenisgerichte activiteit  </w:t>
      </w:r>
      <w:r>
        <w:rPr>
          <w:sz w:val="18"/>
        </w:rPr>
        <w:t>(slechts 4/21 dagen uitgevoerd; hoog potentieel voor CR-1 en CR-4)</w:t>
      </w:r>
    </w:p>
    <w:p>
      <w:pPr>
        <w:pStyle w:val="ListBullet"/>
      </w:pPr>
      <w:r>
        <w:rPr>
          <w:b/>
          <w:sz w:val="18"/>
        </w:rPr>
        <w:t xml:space="preserve">Slaap-waakconsistentie  </w:t>
      </w:r>
      <w:r>
        <w:rPr>
          <w:sz w:val="18"/>
        </w:rPr>
        <w:t>(lage slaapkwaliteit ondermijnt emotieregulatie en rouwverwerking)</w:t>
      </w:r>
    </w:p>
    <w:p>
      <w:pPr>
        <w:pStyle w:val="ListBullet"/>
      </w:pPr>
      <w:r>
        <w:rPr>
          <w:b/>
          <w:sz w:val="18"/>
        </w:rPr>
        <w:t xml:space="preserve">Zelfcompassie  </w:t>
      </w:r>
      <w:r>
        <w:rPr>
          <w:sz w:val="18"/>
        </w:rPr>
        <w:t>(schuldgedreven ruminatie is hoog en vraagt een direct corrigerend proces)</w:t>
      </w:r>
    </w:p>
    <w:p/>
    <w:p>
      <w:r>
        <w:rPr>
          <w:b/>
          <w:sz w:val="20"/>
        </w:rPr>
        <w:t>Opdracht: selecteer EXACT 5 EMA-items die het best passen als volgende subpredictoren. Vink de 5 geselecteerde items aan.</w:t>
      </w:r>
    </w:p>
    <w:p/>
    <w:p>
      <w:pPr>
        <w:pStyle w:val="ListParagraph"/>
        <w:ind w:left="283"/>
      </w:pPr>
      <w:r>
        <w:rPr>
          <w:sz w:val="20"/>
        </w:rPr>
        <w:t xml:space="preserve"> 1.  □  Wandeling buiten uitgevoerd (ja/nee)</w:t>
      </w:r>
    </w:p>
    <w:p>
      <w:pPr>
        <w:pStyle w:val="ListParagraph"/>
        <w:ind w:left="283"/>
      </w:pPr>
      <w:r>
        <w:rPr>
          <w:sz w:val="20"/>
        </w:rPr>
        <w:t xml:space="preserve"> 2.  □  App-berichten met familie verstuurd (aantal)</w:t>
      </w:r>
    </w:p>
    <w:p>
      <w:pPr>
        <w:pStyle w:val="ListParagraph"/>
        <w:ind w:left="283"/>
      </w:pPr>
      <w:r>
        <w:rPr>
          <w:sz w:val="20"/>
        </w:rPr>
        <w:t xml:space="preserve"> 3.  □  Betekenisgerichte activiteit uitgevoerd (ja/nee)</w:t>
      </w:r>
    </w:p>
    <w:p>
      <w:pPr>
        <w:pStyle w:val="ListParagraph"/>
        <w:ind w:left="283"/>
      </w:pPr>
      <w:r>
        <w:rPr>
          <w:sz w:val="20"/>
        </w:rPr>
        <w:t xml:space="preserve"> 4.  □  Cafeine-inname na 17.00 uur (aantal)</w:t>
      </w:r>
    </w:p>
    <w:p>
      <w:pPr>
        <w:pStyle w:val="ListParagraph"/>
        <w:ind w:left="283"/>
      </w:pPr>
      <w:r>
        <w:rPr>
          <w:sz w:val="20"/>
        </w:rPr>
        <w:t xml:space="preserve"> 5.  □  Televisietijd in de avond (min)</w:t>
      </w:r>
    </w:p>
    <w:p>
      <w:pPr>
        <w:pStyle w:val="ListParagraph"/>
        <w:ind w:left="283"/>
      </w:pPr>
      <w:r>
        <w:rPr>
          <w:sz w:val="20"/>
        </w:rPr>
        <w:t xml:space="preserve"> 6.  □  Vaste slaap-waakroutine gevolgd (ja/nee)</w:t>
      </w:r>
    </w:p>
    <w:p>
      <w:pPr>
        <w:pStyle w:val="ListParagraph"/>
        <w:ind w:left="283"/>
      </w:pPr>
      <w:r>
        <w:rPr>
          <w:sz w:val="20"/>
        </w:rPr>
        <w:t xml:space="preserve"> 7.  □  Maaltijdlust vandaag (0--10)</w:t>
      </w:r>
    </w:p>
    <w:p>
      <w:pPr>
        <w:pStyle w:val="ListParagraph"/>
        <w:ind w:left="283"/>
      </w:pPr>
      <w:r>
        <w:rPr>
          <w:sz w:val="20"/>
        </w:rPr>
        <w:t xml:space="preserve"> 8.  □  Werk- of zorgtaken voor anderen (min)</w:t>
      </w:r>
    </w:p>
    <w:p>
      <w:pPr>
        <w:pStyle w:val="ListParagraph"/>
        <w:ind w:left="283"/>
      </w:pPr>
      <w:r>
        <w:rPr>
          <w:sz w:val="20"/>
        </w:rPr>
        <w:t xml:space="preserve"> 9.  □  Zelfcompassie-oefening vandaag uitgevoerd (ja/nee)</w:t>
      </w:r>
    </w:p>
    <w:p>
      <w:pPr>
        <w:pStyle w:val="ListParagraph"/>
        <w:ind w:left="283"/>
      </w:pPr>
      <w:r>
        <w:rPr>
          <w:sz w:val="20"/>
        </w:rPr>
        <w:t>10.  □  Middagdutje genomen (ja/nee)</w:t>
      </w:r>
    </w:p>
    <w:p>
      <w:pPr>
        <w:pStyle w:val="ListParagraph"/>
        <w:ind w:left="283"/>
      </w:pPr>
      <w:r>
        <w:rPr>
          <w:sz w:val="20"/>
        </w:rPr>
        <w:t>11.  □  Lichamelijke onrust in de avond (0--10)</w:t>
      </w:r>
    </w:p>
    <w:p>
      <w:pPr>
        <w:pStyle w:val="ListParagraph"/>
        <w:ind w:left="283"/>
      </w:pPr>
      <w:r>
        <w:rPr>
          <w:sz w:val="20"/>
        </w:rPr>
        <w:t>12.  □  Toekomstgerichte activiteit ingepland (ja/nee)</w:t>
      </w:r>
    </w:p>
    <w:p>
      <w:pPr>
        <w:pStyle w:val="ListParagraph"/>
        <w:ind w:left="283"/>
      </w:pPr>
      <w:r>
        <w:rPr>
          <w:sz w:val="20"/>
        </w:rPr>
        <w:t>13.  □  Schermtijd na 21.00 uur (min)</w:t>
      </w:r>
    </w:p>
    <w:p>
      <w:pPr>
        <w:pStyle w:val="ListParagraph"/>
        <w:ind w:left="283"/>
      </w:pPr>
      <w:r>
        <w:rPr>
          <w:sz w:val="20"/>
        </w:rPr>
        <w:t>14.  □  Vermijden van herinneringsvoorwerpen (ja/nee)</w:t>
      </w:r>
    </w:p>
    <w:p>
      <w:pPr>
        <w:pStyle w:val="ListParagraph"/>
        <w:ind w:left="283"/>
      </w:pPr>
      <w:r>
        <w:rPr>
          <w:sz w:val="20"/>
        </w:rPr>
        <w:t>15.  □  Alcoholinname in de avond (aantal)</w:t>
      </w:r>
    </w:p>
    <w:p>
      <w:pPr>
        <w:pStyle w:val="ListParagraph"/>
        <w:ind w:left="283"/>
      </w:pPr>
      <w:r>
        <w:rPr>
          <w:sz w:val="20"/>
        </w:rPr>
        <w:t>16.  □  Huishoudelijke taken voltooid (aantal)</w:t>
      </w:r>
    </w:p>
    <w:p>
      <w:pPr>
        <w:pStyle w:val="ListParagraph"/>
        <w:ind w:left="283"/>
      </w:pPr>
      <w:r>
        <w:rPr>
          <w:sz w:val="20"/>
        </w:rPr>
        <w:t>17.  □  Sociaal contactmoment vandaag (ja/nee)</w:t>
      </w:r>
    </w:p>
    <w:p>
      <w:pPr>
        <w:pStyle w:val="ListParagraph"/>
        <w:ind w:left="283"/>
      </w:pPr>
      <w:r>
        <w:rPr>
          <w:sz w:val="20"/>
        </w:rPr>
        <w:t>18.  □  Aantal afspraken buitenshuis gepland (aantal)</w:t>
      </w:r>
    </w:p>
    <w:p>
      <w:pPr>
        <w:pStyle w:val="ListParagraph"/>
        <w:ind w:left="283"/>
      </w:pPr>
      <w:r>
        <w:rPr>
          <w:sz w:val="20"/>
        </w:rPr>
        <w:t>19.  □  Pijnintensiteit in gewrichten (0--10)</w:t>
      </w:r>
    </w:p>
    <w:p>
      <w:pPr>
        <w:pStyle w:val="ListParagraph"/>
        <w:ind w:left="283"/>
      </w:pPr>
      <w:r>
        <w:rPr>
          <w:sz w:val="20"/>
        </w:rPr>
        <w:t>20.  □  Ochtendenergie bij opstaan (0--10)</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41-jarige leraar secundair onderwijs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Uitgesproken werkgerelateerde uitputting met verlies aan betekenis en toenemende sociale terugtrekking.</w:t>
            </w:r>
          </w:p>
        </w:tc>
      </w:tr>
      <w:tr>
        <w:tc>
          <w:tcPr>
            <w:tcW w:type="dxa" w:w="2268"/>
          </w:tcPr>
          <w:p>
            <w:r>
              <w:rPr>
                <w:b/>
                <w:color w:val="047857"/>
                <w:sz w:val="18"/>
              </w:rPr>
              <w:t>Behandeldoel</w:t>
            </w:r>
          </w:p>
        </w:tc>
        <w:tc>
          <w:tcPr>
            <w:tcW w:type="dxa" w:w="4703"/>
          </w:tcPr>
          <w:p>
            <w:r>
              <w:rPr>
                <w:sz w:val="18"/>
              </w:rPr>
              <w:t>Een duidelijke werk-privegrens installeren en na het werk consequent herstelgedrag activeren.</w:t>
            </w:r>
          </w:p>
        </w:tc>
      </w:tr>
      <w:tr>
        <w:tc>
          <w:tcPr>
            <w:tcW w:type="dxa" w:w="2268"/>
          </w:tcPr>
          <w:p>
            <w:r>
              <w:rPr>
                <w:b/>
                <w:color w:val="047857"/>
                <w:sz w:val="18"/>
              </w:rPr>
              <w:t>Voornaamste barriere</w:t>
            </w:r>
          </w:p>
        </w:tc>
        <w:tc>
          <w:tcPr>
            <w:tcW w:type="dxa" w:w="4703"/>
          </w:tcPr>
          <w:p>
            <w:r>
              <w:rPr>
                <w:sz w:val="18"/>
              </w:rPr>
              <w:t>Actieplanning ontbreekt: er is geen concreet moment of signaal waarop de werkmodus stopt.</w:t>
            </w:r>
          </w:p>
        </w:tc>
      </w:tr>
      <w:tr>
        <w:tc>
          <w:tcPr>
            <w:tcW w:type="dxa" w:w="2268"/>
          </w:tcPr>
          <w:p>
            <w:r>
              <w:rPr>
                <w:b/>
                <w:color w:val="047857"/>
                <w:sz w:val="18"/>
              </w:rPr>
              <w:t>Copingstrategie</w:t>
            </w:r>
          </w:p>
        </w:tc>
        <w:tc>
          <w:tcPr>
            <w:tcW w:type="dxa" w:w="4703"/>
          </w:tcPr>
          <w:p>
            <w:r>
              <w:rPr>
                <w:sz w:val="18"/>
              </w:rPr>
              <w:t>Koppel een vaste afsluitsignalering aan een kleine herstelactiviteit die onmiddellijk na het einde van de werkdag start.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63-jarige gepensioneerde professional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Aanhoudende rouw met uitgesproken schuldbeleving en weinig toekomstgerichte betrokkenheid.</w:t>
            </w:r>
          </w:p>
        </w:tc>
      </w:tr>
      <w:tr>
        <w:tc>
          <w:tcPr>
            <w:tcW w:type="dxa" w:w="2268"/>
          </w:tcPr>
          <w:p>
            <w:r>
              <w:rPr>
                <w:b/>
                <w:color w:val="047857"/>
                <w:sz w:val="18"/>
              </w:rPr>
              <w:t>Behandeldoel</w:t>
            </w:r>
          </w:p>
        </w:tc>
        <w:tc>
          <w:tcPr>
            <w:tcW w:type="dxa" w:w="4703"/>
          </w:tcPr>
          <w:p>
            <w:r>
              <w:rPr>
                <w:sz w:val="18"/>
              </w:rPr>
              <w:t>Een kleine maar betekenisvolle activiteit plannen die verbinding maakt met herinnering en toekomst.</w:t>
            </w:r>
          </w:p>
        </w:tc>
      </w:tr>
      <w:tr>
        <w:tc>
          <w:tcPr>
            <w:tcW w:type="dxa" w:w="2268"/>
          </w:tcPr>
          <w:p>
            <w:r>
              <w:rPr>
                <w:b/>
                <w:color w:val="047857"/>
                <w:sz w:val="18"/>
              </w:rPr>
              <w:t>Voornaamste barriere</w:t>
            </w:r>
          </w:p>
        </w:tc>
        <w:tc>
          <w:tcPr>
            <w:tcW w:type="dxa" w:w="4703"/>
          </w:tcPr>
          <w:p>
            <w:r>
              <w:rPr>
                <w:sz w:val="18"/>
              </w:rPr>
              <w:t>Motivationele inertie: de eerste stap voelt zinloos of emotioneel te zwaar.</w:t>
            </w:r>
          </w:p>
        </w:tc>
      </w:tr>
      <w:tr>
        <w:tc>
          <w:tcPr>
            <w:tcW w:type="dxa" w:w="2268"/>
          </w:tcPr>
          <w:p>
            <w:r>
              <w:rPr>
                <w:b/>
                <w:color w:val="047857"/>
                <w:sz w:val="18"/>
              </w:rPr>
              <w:t>Copingstrategie</w:t>
            </w:r>
          </w:p>
        </w:tc>
        <w:tc>
          <w:tcPr>
            <w:tcW w:type="dxa" w:w="4703"/>
          </w:tcPr>
          <w:p>
            <w:r>
              <w:rPr>
                <w:sz w:val="18"/>
              </w:rPr>
              <w:t>Verklein de instap naar een tijdsafgebakende micro-actie, bijvoorbeeld een korte schrijfoefening of een vast herinneringsmoment.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PHOENIX-PRE-HCP-PRE-02</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