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(Werk-privegrens) → CR-1 (Emotionele uitputting) (w=-0.80),  P1 (Werk-privegrens) → CR-2 (Professionele depersonalisatie) (w=-0.75),  P2 (Herstelactiviteit) → CR-1 (Emotionele uitputting) (w=-0.82),  P2 (Herstelactiviteit) → CR-3 (Sociale terugtrekking) (w=-0.52),  P3 (Sociaal initiatief) → CR-3 (Sociale terugtrekking) (w=-0.78),  P4 (Professionele meestervaring) → CR-2 (Professionele depersonalisatie) (w=-0.55),  P4 (Professionele meestervaring) → CR-4 (Cognitieve fouten op het werk) (w=-0.50),  P5 (Slaapkwaliteit) → CR-1 (Emotionele uitputting) (w=-0.58),  P5 (Slaapkwaliteit) → CR-4 (Cognitieve fouten op het werk) (w=-0.55)</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(Betekenisgerichte activiteit) → CR-1 (Aanhoudende rouwreactie) (w=-0.78),  P1 (Betekenisgerichte activiteit) → CR-4 (Verminderde toekomstorientatie) (w=-0.82),  P2 (Slaap-waakconsistentie) → CR-2 (Doorslaapinsomnie) (w=-0.80),  P3 (Sociale steunopname) → CR-1 (Aanhoudende rouwreactie) (w=-0.50),  P3 (Sociale steunopname) → CR-3 (Schuldgedreven ruminatie) (w=-0.55),  P4 (Zelfcompassie) → CR-3 (Schuldgedreven ruminatie) (w=-0.75),  P5 (Toekomstplanning) → CR-4 (Verminderde toekomstorientatie) (w=-0.80)</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