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C01  (28-jarige softwareontwikkelaar)</w:t>
      </w:r>
      <w:r>
        <w:br/>
      </w:r>
      <w:r>
        <w:rPr>
          <w:sz w:val="20"/>
        </w:rPr>
        <w:t>en</w:t>
      </w:r>
      <w:r>
        <w:br/>
      </w:r>
      <w:r>
        <w:rPr>
          <w:sz w:val="20"/>
        </w:rPr>
        <w:t>C02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C01: Deel 2</w:t>
      </w:r>
    </w:p>
    <w:p>
      <w:pPr>
        <w:jc w:val="left"/>
        <w:shd w:val="clear" w:color="auto" w:fill="EFF6FF"/>
      </w:pPr>
      <w:r>
        <w:rPr>
          <w:sz w:val="20"/>
        </w:rPr>
        <w:t>Casus C01: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C02: Deel 2</w:t>
      </w:r>
    </w:p>
    <w:p>
      <w:pPr>
        <w:jc w:val="left"/>
        <w:shd w:val="clear" w:color="auto" w:fill="EFF6FF"/>
      </w:pPr>
      <w:r>
        <w:rPr>
          <w:sz w:val="20"/>
        </w:rPr>
        <w:t>Casus C02: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C01: Deel 3</w:t>
      </w:r>
    </w:p>
    <w:p>
      <w:pPr>
        <w:jc w:val="left"/>
        <w:shd w:val="clear" w:color="auto" w:fill="EFF6FF"/>
      </w:pPr>
      <w:r>
        <w:rPr>
          <w:sz w:val="20"/>
        </w:rPr>
        <w:t>Casus C01: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 predictoren (links) → criteria (rechts)  (zie PDF voor visuele weergave):</w:t>
      </w:r>
    </w:p>
    <w:p>
      <w:r>
        <w:rPr>
          <w:b/>
          <w:color w:val="B91C1C"/>
          <w:sz w:val="18"/>
        </w:rPr>
        <w:t xml:space="preserve">  Risicofactoren (rood, positief gewicht):  </w:t>
      </w:r>
      <w:r>
        <w:rPr>
          <w:sz w:val="18"/>
        </w:rPr>
        <w:t>P1 (Late avondschermtijd) → CR-1 (Inslaapproblemen) (w=+0.82),  P1 (Late avondschermtijd) → CR-2 (Cognitieve hyperarousal) (w=+0.78),  P2 (Dagelijkse taakaccumulatie) → CR-2 (Cognitieve hyperarousal) (w=+0.55)</w:t>
      </w:r>
    </w:p>
    <w:p>
      <w:r>
        <w:rPr>
          <w:b/>
          <w:color w:val="1D4ED8"/>
          <w:sz w:val="18"/>
        </w:rPr>
        <w:t xml:space="preserve">  Beschermende factoren (blauw, negatief gewicht):  </w:t>
      </w:r>
      <w:r>
        <w:rPr>
          <w:sz w:val="18"/>
        </w:rPr>
        <w:t>P3 (Preslaap cognitieve offloading) → CR-2 (Cognitieve hyperarousal) (w=-0.76),  P3 (Preslaap cognitieve offloading) → CR-1 (Inslaapproblemen) (w=-0.52),  P4 (Sociale participatie) → CR-3 (Sociale anhedonie) (w=-0.82),  P5 (Aerobe beweging) → CR-1 (Inslaapproblemen) (w=-0.55),  P5 (Aerobe beweging) → CR-4 (Stressgerelateerde spierspanning) (w=-0.62)</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C02: Deel 3</w:t>
      </w:r>
    </w:p>
    <w:p>
      <w:pPr>
        <w:jc w:val="left"/>
        <w:shd w:val="clear" w:color="auto" w:fill="EFF6FF"/>
      </w:pPr>
      <w:r>
        <w:rPr>
          <w:sz w:val="20"/>
        </w:rPr>
        <w:t>Casus C02: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 predictoren (links) → criteria (rechts)  (zie PDF voor visuele weergave):</w:t>
      </w:r>
    </w:p>
    <w:p>
      <w:r>
        <w:rPr>
          <w:b/>
          <w:color w:val="B91C1C"/>
          <w:sz w:val="18"/>
        </w:rPr>
        <w:t xml:space="preserve">  Risicofactoren (rood, positief gewicht):  </w:t>
      </w:r>
      <w:r>
        <w:rPr>
          <w:sz w:val="18"/>
        </w:rPr>
        <w:t>P1 (Vermijdingsgedrag) → CR-3 (Situationele vermijding) (w=+0.85),  P1 (Vermijdingsgedrag) → CR-2 (Anticipatieangst) (w=+0.80),  P2 (Veiligheidsgedrag) → CR-2 (Anticipatieangst) (w=+0.75),  P2 (Veiligheidsgedrag) → CR-1 (Recidiverende paniekepisoden) (w=+0.55),  P3 (Interoceptieve focus) → CR-2 (Anticipatieangst) (w=+0.78),  P3 (Interoceptieve focus) → CR-1 (Recidiverende paniekepisoden) (w=+0.72)</w:t>
      </w:r>
    </w:p>
    <w:p>
      <w:r>
        <w:rPr>
          <w:b/>
          <w:color w:val="1D4ED8"/>
          <w:sz w:val="18"/>
        </w:rPr>
        <w:t xml:space="preserve">  Beschermende factoren (blauw, negatief gewicht):  </w:t>
      </w:r>
      <w:r>
        <w:rPr>
          <w:sz w:val="18"/>
        </w:rPr>
        <w:t>P4 (Geplande exposure) → CR-3 (Situationele vermijding) (w=-0.80),  P5 (Dagstructuur) → CR-4 (Beroepsmatige interferentie) (w=-0.52)</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C01: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C02: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(C01 en C02).</w:t>
      </w:r>
    </w:p>
    <w:p/>
    <w:p>
      <w:r>
        <w:rPr>
          <w:b/>
          <w:sz w:val="20"/>
        </w:rPr>
        <w:t>Checklist voor terugbezorging -- gelieve alle vakjes af te vinken:</w:t>
      </w:r>
    </w:p>
    <w:p>
      <w:pPr>
        <w:spacing w:after="60"/>
        <w:ind w:left="170"/>
      </w:pPr>
      <w:r>
        <w:rPr>
          <w:sz w:val="20"/>
        </w:rPr>
        <w:t>□   Ik heb in Deel 1 voor beide casussen (C01 en C02)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