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C03  (41-jarige leraar secundair onderwijs)</w:t>
      </w:r>
      <w:r>
        <w:br/>
      </w:r>
      <w:r>
        <w:rPr>
          <w:sz w:val="20"/>
        </w:rPr>
        <w:t>en</w:t>
      </w:r>
      <w:r>
        <w:br/>
      </w:r>
      <w:r>
        <w:rPr>
          <w:sz w:val="20"/>
        </w:rPr>
        <w:t>C04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C03: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C04: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C03: Deel 2</w:t>
      </w:r>
    </w:p>
    <w:p>
      <w:pPr>
        <w:jc w:val="left"/>
        <w:shd w:val="clear" w:color="auto" w:fill="EFF6FF"/>
      </w:pPr>
      <w:r>
        <w:rPr>
          <w:sz w:val="20"/>
        </w:rPr>
        <w:t>Casus C03: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C04: Deel 2</w:t>
      </w:r>
    </w:p>
    <w:p>
      <w:pPr>
        <w:jc w:val="left"/>
        <w:shd w:val="clear" w:color="auto" w:fill="EFF6FF"/>
      </w:pPr>
      <w:r>
        <w:rPr>
          <w:sz w:val="20"/>
        </w:rPr>
        <w:t>Casus C04: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C03: Deel 3</w:t>
      </w:r>
    </w:p>
    <w:p>
      <w:pPr>
        <w:jc w:val="left"/>
        <w:shd w:val="clear" w:color="auto" w:fill="EFF6FF"/>
      </w:pPr>
      <w:r>
        <w:rPr>
          <w:sz w:val="20"/>
        </w:rPr>
        <w:t>Casus C03: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(Werk-privegrens) → CR-1 (Emotionele uitputting) (w=-0.80),  P1 (Werk-privegrens) → CR-2 (Professionele depersonalisatie) (w=-0.75),  P2 (Herstelactiviteit) → CR-1 (Emotionele uitputting) (w=-0.82),  P2 (Herstelactiviteit) → CR-3 (Sociale terugtrekking) (w=-0.52),  P3 (Sociaal initiatief) → CR-3 (Sociale terugtrekking) (w=-0.78),  P4 (Professionele meestervaring) → CR-2 (Professionele depersonalisatie) (w=-0.55),  P4 (Professionele meestervaring) → CR-4 (Cognitieve fouten op het werk) (w=-0.50),  P5 (Slaapkwaliteit) → CR-1 (Emotionele uitputting) (w=-0.58),  P5 (Slaapkwaliteit) → CR-4 (Cognitieve fouten op het werk) (w=-0.55)</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C04: Deel 3</w:t>
      </w:r>
    </w:p>
    <w:p>
      <w:pPr>
        <w:jc w:val="left"/>
        <w:shd w:val="clear" w:color="auto" w:fill="EFF6FF"/>
      </w:pPr>
      <w:r>
        <w:rPr>
          <w:sz w:val="20"/>
        </w:rPr>
        <w:t>Casus C04: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(Betekenisgerichte activiteit) → CR-1 (Aanhoudende rouwreactie) (w=-0.78),  P1 (Betekenisgerichte activiteit) → CR-4 (Verminderde toekomstorientatie) (w=-0.82),  P2 (Slaap-waakconsistentie) → CR-2 (Doorslaapinsomnie) (w=-0.80),  P3 (Sociale steunopname) → CR-1 (Aanhoudende rouwreactie) (w=-0.50),  P3 (Sociale steunopname) → CR-3 (Schuldgedreven ruminatie) (w=-0.55),  P4 (Zelfcompassie) → CR-3 (Schuldgedreven ruminatie) (w=-0.75),  P5 (Toekomstplanning) → CR-4 (Verminderde toekomstorientatie) (w=-0.80)</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C03: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C04: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C03: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C04: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(C03 en C04).</w:t>
      </w:r>
    </w:p>
    <w:p/>
    <w:p>
      <w:r>
        <w:rPr>
          <w:b/>
          <w:sz w:val="20"/>
        </w:rPr>
        <w:t>Checklist voor terugbezorging -- gelieve alle vakjes af te vinken:</w:t>
      </w:r>
    </w:p>
    <w:p>
      <w:pPr>
        <w:spacing w:after="60"/>
        <w:ind w:left="170"/>
      </w:pPr>
      <w:r>
        <w:rPr>
          <w:sz w:val="20"/>
        </w:rPr>
        <w:t>□   Ik heb in Deel 1 voor beide casussen (C03 en C04)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