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C09  (27-jarige salesvertegenwoordiger)</w:t>
      </w:r>
      <w:r>
        <w:br/>
      </w:r>
      <w:r>
        <w:rPr>
          <w:sz w:val="20"/>
        </w:rPr>
        <w:t>en</w:t>
      </w:r>
      <w:r>
        <w:br/>
      </w:r>
      <w:r>
        <w:rPr>
          <w:sz w:val="20"/>
        </w:rPr>
        <w:t>C10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C09: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C10: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C09: Deel 2</w:t>
      </w:r>
    </w:p>
    <w:p>
      <w:pPr>
        <w:jc w:val="left"/>
        <w:shd w:val="clear" w:color="auto" w:fill="EFF6FF"/>
      </w:pPr>
      <w:r>
        <w:rPr>
          <w:sz w:val="20"/>
        </w:rPr>
        <w:t>Casus C09: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C10: Deel 2</w:t>
      </w:r>
    </w:p>
    <w:p>
      <w:pPr>
        <w:jc w:val="left"/>
        <w:shd w:val="clear" w:color="auto" w:fill="EFF6FF"/>
      </w:pPr>
      <w:r>
        <w:rPr>
          <w:sz w:val="20"/>
        </w:rPr>
        <w:t>Casus C10: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C09: Deel 3</w:t>
      </w:r>
    </w:p>
    <w:p>
      <w:pPr>
        <w:jc w:val="left"/>
        <w:shd w:val="clear" w:color="auto" w:fill="EFF6FF"/>
      </w:pPr>
      <w:r>
        <w:rPr>
          <w:sz w:val="20"/>
        </w:rPr>
        <w:t>Casus C09: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(Emotieregulatievaardigheid) → CR-1 (Snelle stemmingsschommelingen) (w=-0.82),  P1 (Emotieregulatievaardigheid) → CR-2 (Afwijzingsreactiviteit) (w=-0.75),  P2 (Afwijzingsherwaardering) → CR-2 (Afwijzingsreactiviteit) (w=-0.80),  P2 (Afwijzingsherwaardering) → CR-4 (Relationele instabiliteit) (w=-0.75),  P3 (Impulsuitstel) → CR-3 (Impulsief gedrag) (w=-0.82),  P4 (Interpersoonlijke communicatie) → CR-4 (Relationele instabiliteit) (w=-0.78),  P4 (Interpersoonlijke communicatie) → CR-2 (Afwijzingsreactiviteit) (w=-0.52),  P5 (Gedifferentieerde stemmingsmonitoring) → CR-1 (Snelle stemmingsschommelingen) (w=-0.55)</w:t>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C10: Deel 3</w:t>
      </w:r>
    </w:p>
    <w:p>
      <w:pPr>
        <w:jc w:val="left"/>
        <w:shd w:val="clear" w:color="auto" w:fill="EFF6FF"/>
      </w:pPr>
      <w:r>
        <w:rPr>
          <w:sz w:val="20"/>
        </w:rPr>
        <w:t>Casus C10: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 predictoren (links) → criteria (rechts)  (zie PDF voor visuele weergave):</w:t>
      </w:r>
    </w:p>
    <w:p>
      <w:r>
        <w:rPr>
          <w:b/>
          <w:color w:val="B91C1C"/>
          <w:sz w:val="18"/>
        </w:rPr>
        <w:t xml:space="preserve">  Risicofactoren (rood, positief gewicht):  </w:t>
      </w:r>
      <w:r>
        <w:rPr>
          <w:sz w:val="18"/>
        </w:rPr>
        <w:t>P2 (Avondlijk alcoholgebruik) → CR-4 (Alcohol als copingstrategie) (w=+0.85),  P2 (Avondlijk alcoholgebruik) → CR-2 (Doorslaapinsomnie) (w=+0.78),  P5 (Nachtelijke cognitieve arousal) → CR-2 (Doorslaapinsomnie) (w=+0.82)</w:t>
      </w:r>
    </w:p>
    <w:p>
      <w:r>
        <w:rPr>
          <w:b/>
          <w:color w:val="1D4ED8"/>
          <w:sz w:val="18"/>
        </w:rPr>
        <w:t xml:space="preserve">  Beschermende factoren (blauw, negatief gewicht):  </w:t>
      </w:r>
      <w:r>
        <w:rPr>
          <w:sz w:val="18"/>
        </w:rPr>
        <w:t>P1 (Werkontkoppeling voor slaap) → CR-2 (Doorslaapinsomnie) (w=-0.80),  P1 (Werkontkoppeling voor slaap) → CR-1 (Chronische werkstress) (w=-0.72),  P3 (Stressregulatie overdag) → CR-1 (Chronische werkstress) (w=-0.58),  P3 (Stressregulatie overdag) → CR-3 (Somatische stressklachten) (w=-0.72),  P4 (Aerobe beweging) → CR-1 (Chronische werkstress) (w=-0.52),  P4 (Aerobe beweging) → CR-3 (Somatische stressklachten) (w=-0.55)</w:t>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C09: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C10: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C09: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C10: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(C09 en C10).</w:t>
      </w:r>
    </w:p>
    <w:p/>
    <w:p>
      <w:r>
        <w:rPr>
          <w:b/>
          <w:sz w:val="20"/>
        </w:rPr>
        <w:t>Checklist voor terugbezorging -- gelieve alle vakjes af te vinken:</w:t>
      </w:r>
    </w:p>
    <w:p>
      <w:pPr>
        <w:spacing w:after="60"/>
        <w:ind w:left="170"/>
      </w:pPr>
      <w:r>
        <w:rPr>
          <w:sz w:val="20"/>
        </w:rPr>
        <w:t>□   Ik heb in Deel 1 voor beide casussen (C09 en C10)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