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HCP-PRE-02</w:t>
        <w:br/>
        <w:t>Toegewezen casussen: C03 (41-jarige leraar secundair onderwijs)  en  C04 (63-jarige gepensioneerde professional)</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het PHOENIX multi-agentsysteem (masterproef UGent)</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w:t>
            </w:r>
          </w:p>
        </w:tc>
      </w:tr>
      <w:tr>
        <w:tc>
          <w:tcPr>
            <w:tcW w:type="dxa" w:w="2551"/>
          </w:tcPr>
          <w:p>
            <w:r>
              <w:rPr>
                <w:b/>
                <w:sz w:val="18"/>
              </w:rPr>
              <w:t>Promotoren</w:t>
            </w:r>
          </w:p>
        </w:tc>
        <w:tc>
          <w:tcPr>
            <w:tcW w:type="dxa" w:w="4703"/>
          </w:tcPr>
          <w:p>
            <w:r>
              <w:rPr>
                <w:sz w:val="18"/>
              </w:rPr>
              <w:t>Prof.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r>
        <w:rPr>
          <w:i/>
          <w:sz w:val="18"/>
        </w:rPr>
        <w:t>Vertrouwelijkheid: uw antwoorden worden voor analyse geanonimiseerd en uitsluitend gebruikt binnen deze masterproefstudie. Deelname is vrijwillig.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van de studie.</w:t>
        <w:br/>
        <w:t>3. Gebruik in latere delen uitsluitend de meegeleverde gestandaardiseerde context.</w:t>
        <w:br/>
        <w:t>4. Herwerk eerdere antwoorden NIET retroactief nadat u latere context hebt gezien.</w:t>
        <w:br/>
        <w:t>5. Noteer of typ rechtstreeks in de voorziene antwoordzones.</w:t>
      </w:r>
    </w:p>
    <w:p/>
    <w:p>
      <w:pPr>
        <w:shd w:val="clear" w:color="auto" w:fill="ECFDF5"/>
      </w:pPr>
      <w:r>
        <w:rPr>
          <w:sz w:val="20"/>
        </w:rPr>
        <w:t>EMA-PRINCIPES (relevant voor Deel 2 en Deel 4):</w:t>
        <w:br/>
        <w:t>Ecological Momentary Assessment (EMA) meet dagelijkse schommelingen via een mobiele app. Elke EMA-variabele moet: (1) dagelijks rapporteerbaar zijn via een korte smartphone-vraag; (2) dynamisch en veranderbaar zijn (geen diagnose of trait); (3) meetbaar zijn als ja/nee, aantal, minuten of een 0-10 score; (4) klinisch relevante binnen-persoonsvariatie tonen. In Deel 2 genereert u zelf predictorlabels. In Deel 4 selecteert u de meest geschikte 5 uit 20 reeds uitgewerkte EMA-items.</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C03: 41-jarige leraar secundair onderwijs</w:t>
      </w:r>
    </w:p>
    <w:p>
      <w:pPr>
        <w:shd w:val="clear" w:color="auto" w:fill="EFF6FF"/>
      </w:pPr>
      <w:r>
        <w:rPr>
          <w:sz w:val="20"/>
        </w:rPr>
        <w:t>CASUSVIGNET  |  Duur: 7 maanden</w:t>
        <w:br/>
        <w:b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C04: 63-jarige gepensioneerde professional</w:t>
      </w:r>
    </w:p>
    <w:p>
      <w:pPr>
        <w:shd w:val="clear" w:color="auto" w:fill="EFF6FF"/>
      </w:pPr>
      <w:r>
        <w:rPr>
          <w:sz w:val="20"/>
        </w:rPr>
        <w:t>CASUSVIGNET  |  Duur: 9 maanden na overlijden van partner</w:t>
        <w:br/>
        <w:b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C03: Deel 2</w:t>
      </w:r>
    </w:p>
    <w:p>
      <w:pPr>
        <w:shd w:val="clear" w:color="auto" w:fill="EFF6FF"/>
      </w:pPr>
      <w:r>
        <w:rPr>
          <w:sz w:val="20"/>
        </w:rPr>
        <w:t>Casus C03: verkorte klachtomschrijving</w:t>
        <w:b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C04: Deel 2</w:t>
      </w:r>
    </w:p>
    <w:p>
      <w:pPr>
        <w:shd w:val="clear" w:color="auto" w:fill="EFF6FF"/>
      </w:pPr>
      <w:r>
        <w:rPr>
          <w:sz w:val="20"/>
        </w:rPr>
        <w:t>Casus C04: verkorte klachtomschrijving</w:t>
        <w:b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C03: Deel 3</w:t>
      </w:r>
    </w:p>
    <w:p>
      <w:pPr>
        <w:shd w:val="clear" w:color="auto" w:fill="EFF6FF"/>
      </w:pPr>
      <w:r>
        <w:rPr>
          <w:sz w:val="20"/>
        </w:rPr>
        <w:t>Casus C03: 41-jarige leraar secundair onderwijs</w:t>
        <w:b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(zie PDF voor visuele weergave):</w:t>
      </w:r>
    </w:p>
    <w:p>
      <w:r>
        <w:rPr>
          <w:b/>
          <w:color w:val="B91C1C"/>
          <w:sz w:val="18"/>
        </w:rPr>
        <w:t xml:space="preserve">  Sterke relaties (rood):  </w:t>
      </w:r>
      <w:r>
        <w:rPr>
          <w:sz w:val="18"/>
        </w:rPr>
        <w:t>CR-1 (Emotionele uitputting) &lt;-&gt; P1 (Werk-privegrens),  CR-2 (Professionele depersonalisatie) &lt;-&gt; P1 (Werk-privegrens),  CR-1 (Emotionele uitputting) &lt;-&gt; P2 (Herstelactiviteit),  CR-3 (Sociale terugtrekking) &lt;-&gt; P3 (Sociaal initiatief)</w:t>
      </w:r>
    </w:p>
    <w:p>
      <w:r>
        <w:rPr>
          <w:b/>
          <w:color w:val="1D4ED8"/>
          <w:sz w:val="18"/>
        </w:rPr>
        <w:t xml:space="preserve">  Matige relaties (blauw):  </w:t>
      </w:r>
      <w:r>
        <w:rPr>
          <w:sz w:val="18"/>
        </w:rPr>
        <w:t>CR-3 (Sociale terugtrekking) &lt;-&gt; P2 (Herstelactiviteit),  CR-2 (Professionele depersonalisatie) &lt;-&gt; P4 (Professionele meestervaring),  CR-4 (Cognitieve fouten op het werk) &lt;-&gt; P4 (Professionele meestervaring),  CR-1 (Emotionele uitputting) &lt;-&gt; P5 (Slaapkwaliteit),  CR-4 (Cognitieve fouten op het werk) &lt;-&gt; P5 (Slaapkwaliteit)</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C04: Deel 3</w:t>
      </w:r>
    </w:p>
    <w:p>
      <w:pPr>
        <w:shd w:val="clear" w:color="auto" w:fill="EFF6FF"/>
      </w:pPr>
      <w:r>
        <w:rPr>
          <w:sz w:val="20"/>
        </w:rPr>
        <w:t>Casus C04: 63-jarige gepensioneerde professional</w:t>
        <w:b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(zie PDF voor visuele weergave):</w:t>
      </w:r>
    </w:p>
    <w:p>
      <w:r>
        <w:rPr>
          <w:b/>
          <w:color w:val="B91C1C"/>
          <w:sz w:val="18"/>
        </w:rPr>
        <w:t xml:space="preserve">  Sterke relaties (rood):  </w:t>
      </w:r>
      <w:r>
        <w:rPr>
          <w:sz w:val="18"/>
        </w:rPr>
        <w:t>CR-1 (Aanhoudende rouwreactie) &lt;-&gt; P1 (Betekenisgerichte activiteit),  CR-4 (Verminderde toekomstorientatie) &lt;-&gt; P1 (Betekenisgerichte activiteit),  CR-2 (Doorslaapinsomnie) &lt;-&gt; P2 (Slaap-waakconsistentie),  CR-3 (Schuldgedreven ruminatie) &lt;-&gt; P4 (Zelfcompassie),  CR-4 (Verminderde toekomstorientatie) &lt;-&gt; P5 (Toekomstplanning)</w:t>
      </w:r>
    </w:p>
    <w:p>
      <w:r>
        <w:rPr>
          <w:b/>
          <w:color w:val="1D4ED8"/>
          <w:sz w:val="18"/>
        </w:rPr>
        <w:t xml:space="preserve">  Matige relaties (blauw):  </w:t>
      </w:r>
      <w:r>
        <w:rPr>
          <w:sz w:val="18"/>
        </w:rPr>
        <w:t>CR-1 (Aanhoudende rouwreactie) &lt;-&gt; P3 (Sociale steunopname),  CR-3 (Schuldgedreven ruminatie) &lt;-&gt; P3 (Sociale steunopname)</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C03: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C04: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C03: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C04: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(C03 en C04).</w:t>
      </w:r>
    </w:p>
    <w:p/>
    <w:p>
      <w:pPr>
        <w:pStyle w:val="ListBullet"/>
      </w:pPr>
      <w:r>
        <w:rPr>
          <w:sz w:val="20"/>
        </w:rPr>
        <w:t>□  Deel 1: criteriumlabels ingevuld voor C03 en C04</w:t>
      </w:r>
    </w:p>
    <w:p>
      <w:pPr>
        <w:pStyle w:val="ListBullet"/>
      </w:pPr>
      <w:r>
        <w:rPr>
          <w:sz w:val="20"/>
        </w:rPr>
        <w:t>□  Deel 2: predictorlabels ingevuld voor C03 en C04</w:t>
      </w:r>
    </w:p>
    <w:p>
      <w:pPr>
        <w:pStyle w:val="ListBullet"/>
      </w:pPr>
      <w:r>
        <w:rPr>
          <w:sz w:val="20"/>
        </w:rPr>
        <w:t>□  Deel 3: alle 5 predictors gerangschikt voor beide casussen</w:t>
      </w:r>
    </w:p>
    <w:p>
      <w:pPr>
        <w:pStyle w:val="ListBullet"/>
      </w:pPr>
      <w:r>
        <w:rPr>
          <w:sz w:val="20"/>
        </w:rPr>
        <w:t>□  Deel 4: exact 5 EMA-items geselecteerd voor beide casussen</w:t>
      </w:r>
    </w:p>
    <w:p>
      <w:pPr>
        <w:pStyle w:val="ListBullet"/>
      </w:pPr>
      <w:r>
        <w:rPr>
          <w:sz w:val="20"/>
        </w:rPr>
        <w:t>□  Deel 5: mobiele coachingsboodschap geschreven voor beide casussen</w:t>
      </w:r>
    </w:p>
    <w:p>
      <w:pPr>
        <w:pStyle w:val="ListBullet"/>
      </w:pPr>
      <w:r>
        <w:rPr>
          <w:sz w:val="20"/>
        </w:rPr>
        <w:t>□  Antwoorden weerspiegelen mijn eigen klinische oordeel zonder externe hulp</w:t>
      </w:r>
    </w:p>
    <w:p>
      <w:pPr>
        <w:pStyle w:val="ListBullet"/>
      </w:pPr>
      <w:r>
        <w:rPr>
          <w:sz w:val="20"/>
        </w:rPr>
        <w:t>□  Ik begrijp dat mijn antwoorden geanonimiseerd worden voor analyse</w:t>
      </w:r>
    </w:p>
    <w:p/>
    <w:p>
      <w:r>
        <w:rPr>
          <w:sz w:val="20"/>
        </w:rPr>
        <w:t>Bezorg het ingevulde document terug via e-mail:</w:t>
        <w:br/>
        <w:t>stijn.vanseveren@ugent.be  --  onderwerp: PHOENIX-PRE-HCP-PRE-02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