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HCP-PRE-03</w:t>
        <w:br/>
        <w:t>Toegewezen casussen: C05 (25-jarige postgraduaatsstudent)  en  C06 (32-jarige marketingprofessional)</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het PHOENIX multi-agentsysteem (masterproef UGent)</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w:t>
            </w:r>
          </w:p>
        </w:tc>
      </w:tr>
      <w:tr>
        <w:tc>
          <w:tcPr>
            <w:tcW w:type="dxa" w:w="2551"/>
          </w:tcPr>
          <w:p>
            <w:r>
              <w:rPr>
                <w:b/>
                <w:sz w:val="18"/>
              </w:rPr>
              <w:t>Promotoren</w:t>
            </w:r>
          </w:p>
        </w:tc>
        <w:tc>
          <w:tcPr>
            <w:tcW w:type="dxa" w:w="4703"/>
          </w:tcPr>
          <w:p>
            <w:r>
              <w:rPr>
                <w:sz w:val="18"/>
              </w:rPr>
              <w:t>Prof.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r>
        <w:rPr>
          <w:i/>
          <w:sz w:val="18"/>
        </w:rPr>
        <w:t>Vertrouwelijkheid: uw antwoorden worden voor analyse geanonimiseerd en uitsluitend gebruikt binnen deze masterproefstudie. Deelname is vrijwillig.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van de studie.</w:t>
        <w:br/>
        <w:t>3. Gebruik in latere delen uitsluitend de meegeleverde gestandaardiseerde context.</w:t>
        <w:br/>
        <w:t>4. Herwerk eerdere antwoorden NIET retroactief nadat u latere context hebt gezien.</w:t>
        <w:br/>
        <w:t>5. Noteer of typ rechtstreeks in de voorziene antwoordzones.</w:t>
      </w:r>
    </w:p>
    <w:p/>
    <w:p>
      <w:pPr>
        <w:shd w:val="clear" w:color="auto" w:fill="ECFDF5"/>
      </w:pPr>
      <w:r>
        <w:rPr>
          <w:sz w:val="20"/>
        </w:rPr>
        <w:t>EMA-PRINCIPES (relevant voor Deel 2 en Deel 4):</w:t>
        <w:br/>
        <w:t>Ecological Momentary Assessment (EMA) meet dagelijkse schommelingen via een mobiele app. Elke EMA-variabele moet: (1) dagelijks rapporteerbaar zijn via een korte smartphone-vraag; (2) dynamisch en veranderbaar zijn (geen diagnose of trait); (3) meetbaar zijn als ja/nee, aantal, minuten of een 0-10 score; (4) klinisch relevante binnen-persoonsvariatie tonen. In Deel 2 genereert u zelf predictorlabels. In Deel 4 selecteert u de meest geschikte 5 uit 20 reeds uitgewerkte EMA-items.</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C05: 25-jarige postgraduaatsstudent</w:t>
      </w:r>
    </w:p>
    <w:p>
      <w:pPr>
        <w:shd w:val="clear" w:color="auto" w:fill="EFF6FF"/>
      </w:pPr>
      <w:r>
        <w:rPr>
          <w:sz w:val="20"/>
        </w:rPr>
        <w:t>CASUSVIGNET  |  Duur: ongeveer 20 maanden</w:t>
        <w:br/>
        <w:b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C06: 32-jarige marketingprofessional</w:t>
      </w:r>
    </w:p>
    <w:p>
      <w:pPr>
        <w:shd w:val="clear" w:color="auto" w:fill="EFF6FF"/>
      </w:pPr>
      <w:r>
        <w:rPr>
          <w:sz w:val="20"/>
        </w:rPr>
        <w:t>CASUSVIGNET  |  Duur: persisterend sinds het begin van de loopbaan (meer dan 3 jaar)</w:t>
        <w:br/>
        <w:b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C05: Deel 2</w:t>
      </w:r>
    </w:p>
    <w:p>
      <w:pPr>
        <w:shd w:val="clear" w:color="auto" w:fill="EFF6FF"/>
      </w:pPr>
      <w:r>
        <w:rPr>
          <w:sz w:val="20"/>
        </w:rPr>
        <w:t>Casus C05: verkorte klachtomschrijving</w:t>
        <w:b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C06: Deel 2</w:t>
      </w:r>
    </w:p>
    <w:p>
      <w:pPr>
        <w:shd w:val="clear" w:color="auto" w:fill="EFF6FF"/>
      </w:pPr>
      <w:r>
        <w:rPr>
          <w:sz w:val="20"/>
        </w:rPr>
        <w:t>Casus C06: verkorte klachtomschrijving</w:t>
        <w:b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C05: Deel 3</w:t>
      </w:r>
    </w:p>
    <w:p>
      <w:pPr>
        <w:shd w:val="clear" w:color="auto" w:fill="EFF6FF"/>
      </w:pPr>
      <w:r>
        <w:rPr>
          <w:sz w:val="20"/>
        </w:rPr>
        <w:t>Casus C05: 25-jarige postgraduaatsstudent</w:t>
        <w:b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(zie PDF voor visuele weergave):</w:t>
      </w:r>
    </w:p>
    <w:p>
      <w:r>
        <w:rPr>
          <w:b/>
          <w:color w:val="B91C1C"/>
          <w:sz w:val="18"/>
        </w:rPr>
        <w:t xml:space="preserve">  Sterke relaties (rood):  </w:t>
      </w:r>
      <w:r>
        <w:rPr>
          <w:sz w:val="18"/>
        </w:rPr>
        <w:t>CR-2 (Compulsieve mentale controle) &lt;-&gt; P1 (Compulsie-uitstel),  CR-4 (Tijdsbelasting door OCD) &lt;-&gt; P1 (Compulsie-uitstel),  CR-3 (Vermijding van schaderisico) &lt;-&gt; P2 (Vermijdingsbeheer),  CR-1 (Intrusieve schadeobsessies) &lt;-&gt; P3 (Onzekerheidstolerantie),  CR-2 (Compulsieve mentale controle) &lt;-&gt; P3 (Onzekerheidstolerantie),  CR-2 (Compulsieve mentale controle) &lt;-&gt; P5 (Geruststellingszoekend gedrag)</w:t>
      </w:r>
    </w:p>
    <w:p>
      <w:r>
        <w:rPr>
          <w:b/>
          <w:color w:val="1D4ED8"/>
          <w:sz w:val="18"/>
        </w:rPr>
        <w:t xml:space="preserve">  Matige relaties (blauw):  </w:t>
      </w:r>
      <w:r>
        <w:rPr>
          <w:sz w:val="18"/>
        </w:rPr>
        <w:t>CR-1 (Intrusieve schadeobsessies) &lt;-&gt; P4 (Slaapkwaliteit),  CR-4 (Tijdsbelasting door OCD) &lt;-&gt; P5 (Geruststellingszoekend gedrag)</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C06: Deel 3</w:t>
      </w:r>
    </w:p>
    <w:p>
      <w:pPr>
        <w:shd w:val="clear" w:color="auto" w:fill="EFF6FF"/>
      </w:pPr>
      <w:r>
        <w:rPr>
          <w:sz w:val="20"/>
        </w:rPr>
        <w:t>Casus C06: 32-jarige marketingprofessional</w:t>
        <w:b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(zie PDF voor visuele weergave):</w:t>
      </w:r>
    </w:p>
    <w:p>
      <w:r>
        <w:rPr>
          <w:b/>
          <w:color w:val="B91C1C"/>
          <w:sz w:val="18"/>
        </w:rPr>
        <w:t xml:space="preserve">  Sterke relaties (rood):  </w:t>
      </w:r>
      <w:r>
        <w:rPr>
          <w:sz w:val="18"/>
        </w:rPr>
        <w:t>CR-1 (Prestatieangst op het werk) &lt;-&gt; P1 (Professionele exposure),  CR-4 (Vermijding van zichtbaarheid) &lt;-&gt; P1 (Professionele exposure),  CR-2 (Post-event ruminatie) &lt;-&gt; P2 (Post-event verwerking),  CR-3 (Excessieve voorbereiding) &lt;-&gt; P4 (Voorbereidingstijd),  CR-4 (Vermijding van zichtbaarheid) &lt;-&gt; P5 (Vermijdingslogging)</w:t>
      </w:r>
    </w:p>
    <w:p>
      <w:r>
        <w:rPr>
          <w:b/>
          <w:color w:val="1D4ED8"/>
          <w:sz w:val="18"/>
        </w:rPr>
        <w:t xml:space="preserve">  Matige relaties (blauw):  </w:t>
      </w:r>
      <w:r>
        <w:rPr>
          <w:sz w:val="18"/>
        </w:rPr>
        <w:t>CR-1 (Prestatieangst op het werk) &lt;-&gt; P3 (Zelfevaluatiebias),  CR-2 (Post-event ruminatie) &lt;-&gt; P3 (Zelfevaluatiebias)</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C05: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C06: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C05: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C06: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(C05 en C06).</w:t>
      </w:r>
    </w:p>
    <w:p/>
    <w:p>
      <w:pPr>
        <w:pStyle w:val="ListBullet"/>
      </w:pPr>
      <w:r>
        <w:rPr>
          <w:sz w:val="20"/>
        </w:rPr>
        <w:t>□  Deel 1: criteriumlabels ingevuld voor C05 en C06</w:t>
      </w:r>
    </w:p>
    <w:p>
      <w:pPr>
        <w:pStyle w:val="ListBullet"/>
      </w:pPr>
      <w:r>
        <w:rPr>
          <w:sz w:val="20"/>
        </w:rPr>
        <w:t>□  Deel 2: predictorlabels ingevuld voor C05 en C06</w:t>
      </w:r>
    </w:p>
    <w:p>
      <w:pPr>
        <w:pStyle w:val="ListBullet"/>
      </w:pPr>
      <w:r>
        <w:rPr>
          <w:sz w:val="20"/>
        </w:rPr>
        <w:t>□  Deel 3: alle 5 predictors gerangschikt voor beide casussen</w:t>
      </w:r>
    </w:p>
    <w:p>
      <w:pPr>
        <w:pStyle w:val="ListBullet"/>
      </w:pPr>
      <w:r>
        <w:rPr>
          <w:sz w:val="20"/>
        </w:rPr>
        <w:t>□  Deel 4: exact 5 EMA-items geselecteerd voor beide casussen</w:t>
      </w:r>
    </w:p>
    <w:p>
      <w:pPr>
        <w:pStyle w:val="ListBullet"/>
      </w:pPr>
      <w:r>
        <w:rPr>
          <w:sz w:val="20"/>
        </w:rPr>
        <w:t>□  Deel 5: mobiele coachingsboodschap geschreven voor beide casussen</w:t>
      </w:r>
    </w:p>
    <w:p>
      <w:pPr>
        <w:pStyle w:val="ListBullet"/>
      </w:pPr>
      <w:r>
        <w:rPr>
          <w:sz w:val="20"/>
        </w:rPr>
        <w:t>□  Antwoorden weerspiegelen mijn eigen klinische oordeel zonder externe hulp</w:t>
      </w:r>
    </w:p>
    <w:p>
      <w:pPr>
        <w:pStyle w:val="ListBullet"/>
      </w:pPr>
      <w:r>
        <w:rPr>
          <w:sz w:val="20"/>
        </w:rPr>
        <w:t>□  Ik begrijp dat mijn antwoorden geanonimiseerd worden voor analyse</w:t>
      </w:r>
    </w:p>
    <w:p/>
    <w:p>
      <w:r>
        <w:rPr>
          <w:sz w:val="20"/>
        </w:rPr>
        <w:t>Bezorg het ingevulde document terug via e-mail:</w:t>
        <w:br/>
        <w:t>stijn.vanseveren@ugent.be  --  onderwerp: PHOENIX-PRE-HCP-PRE-03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