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HCP-PRE-02</w:t>
      </w:r>
      <w:r>
        <w:br/>
      </w:r>
      <w:r>
        <w:rPr>
          <w:sz w:val="20"/>
        </w:rPr>
      </w:r>
      <w:r>
        <w:br/>
      </w:r>
      <w:r>
        <w:rPr>
          <w:sz w:val="20"/>
        </w:rPr>
        <w:t>Toegewezen casussen:</w:t>
      </w:r>
      <w:r>
        <w:br/>
      </w:r>
      <w:r>
        <w:rPr>
          <w:sz w:val="20"/>
        </w:rPr>
        <w:t>Casus 1  (41-jarige leraar secundair onderwijs)</w:t>
      </w:r>
      <w:r>
        <w:br/>
      </w:r>
      <w:r>
        <w:rPr>
          <w:sz w:val="20"/>
        </w:rPr>
        <w:t>en</w:t>
      </w:r>
      <w:r>
        <w:br/>
      </w:r>
      <w:r>
        <w:rPr>
          <w:sz w:val="20"/>
        </w:rPr>
        <w:t>Casus 2  (63-jarige gepensioneerde 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41-jarige leraar secundair onderwijs</w:t>
      </w:r>
    </w:p>
    <w:p>
      <w:pPr>
        <w:jc w:val="left"/>
        <w:shd w:val="clear" w:color="auto" w:fill="EFF6FF"/>
      </w:pPr>
      <w:r>
        <w:rPr>
          <w:sz w:val="20"/>
        </w:rPr>
        <w:t>CASUSVIGNET  |  Duur: 7 maanden</w:t>
      </w:r>
      <w:r>
        <w:br/>
      </w:r>
      <w:r>
        <w:rPr>
          <w:sz w:val="20"/>
        </w:rPr>
      </w:r>
      <w:r>
        <w:br/>
      </w:r>
      <w:r>
        <w:rPr>
          <w:sz w:val="20"/>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63-jarige gepensioneerde professional</w:t>
      </w:r>
    </w:p>
    <w:p>
      <w:pPr>
        <w:jc w:val="left"/>
        <w:shd w:val="clear" w:color="auto" w:fill="EFF6FF"/>
      </w:pPr>
      <w:r>
        <w:rPr>
          <w:sz w:val="20"/>
        </w:rPr>
        <w:t>CASUSVIGNET  |  Duur: 9 maanden na overlijden van partner</w:t>
      </w:r>
      <w:r>
        <w:br/>
      </w:r>
      <w:r>
        <w:rPr>
          <w:sz w:val="20"/>
        </w:rPr>
      </w:r>
      <w:r>
        <w:br/>
      </w:r>
      <w:r>
        <w:rPr>
          <w:sz w:val="20"/>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41-jarige leraar secundair onderwijs -- Deel 2</w:t>
      </w:r>
    </w:p>
    <w:p>
      <w:pPr>
        <w:jc w:val="left"/>
        <w:shd w:val="clear" w:color="auto" w:fill="EFF6FF"/>
      </w:pPr>
      <w:r>
        <w:rPr>
          <w:sz w:val="20"/>
        </w:rPr>
        <w:t>Casus 1: verkorte klachtomschrijving</w:t>
      </w:r>
      <w:r>
        <w:br/>
      </w:r>
      <w:r>
        <w:rPr>
          <w:sz w:val="20"/>
        </w:rPr>
        <w:t>41-jarige leraar secundair onderwijs; duur: 7 maanden. Emotionele uitputting, professionele depersonalisatie, sociale terugtrekking en cognitieve fouten op het werk.</w:t>
      </w:r>
    </w:p>
    <w:p/>
    <w:p>
      <w:r>
        <w:rPr>
          <w:b/>
          <w:sz w:val="20"/>
        </w:rPr>
        <w:t>Gestandaardiseerde criteria uit stap 1:</w:t>
      </w:r>
    </w:p>
    <w:p>
      <w:pPr>
        <w:pStyle w:val="ListBullet"/>
      </w:pPr>
      <w:r>
        <w:rPr>
          <w:sz w:val="20"/>
        </w:rPr>
        <w:t xml:space="preserve">  CR-1  Emotionele uitputting</w:t>
      </w:r>
    </w:p>
    <w:p>
      <w:pPr>
        <w:pStyle w:val="ListBullet"/>
      </w:pPr>
      <w:r>
        <w:rPr>
          <w:sz w:val="20"/>
        </w:rPr>
        <w:t xml:space="preserve">  CR-2  Professionele depersonalisatie</w:t>
      </w:r>
    </w:p>
    <w:p>
      <w:pPr>
        <w:pStyle w:val="ListBullet"/>
      </w:pPr>
      <w:r>
        <w:rPr>
          <w:sz w:val="20"/>
        </w:rPr>
        <w:t xml:space="preserve">  CR-3  Sociale terugtrekking</w:t>
      </w:r>
    </w:p>
    <w:p>
      <w:pPr>
        <w:pStyle w:val="ListBullet"/>
      </w:pPr>
      <w:r>
        <w:rPr>
          <w:sz w:val="20"/>
        </w:rPr>
        <w:t xml:space="preserve">  CR-4  Cognitieve fouten op het werk</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63-jarige gepensioneerde professional -- Deel 2</w:t>
      </w:r>
    </w:p>
    <w:p>
      <w:pPr>
        <w:jc w:val="left"/>
        <w:shd w:val="clear" w:color="auto" w:fill="EFF6FF"/>
      </w:pPr>
      <w:r>
        <w:rPr>
          <w:sz w:val="20"/>
        </w:rPr>
        <w:t>Casus 2: verkorte klachtomschrijving</w:t>
      </w:r>
      <w:r>
        <w:br/>
      </w:r>
      <w:r>
        <w:rPr>
          <w:sz w:val="20"/>
        </w:rPr>
        <w:t>63-jarige gepensioneerde professional; duur: 9 maanden na overlijden van partner. Aanhoudende rouwreactie, doorslaapinsomnie, schuldgedreven ruminatie en verminderde toekomstorientatie.</w:t>
      </w:r>
    </w:p>
    <w:p/>
    <w:p>
      <w:r>
        <w:rPr>
          <w:b/>
          <w:sz w:val="20"/>
        </w:rPr>
        <w:t>Gestandaardiseerde criteria uit stap 1:</w:t>
      </w:r>
    </w:p>
    <w:p>
      <w:pPr>
        <w:pStyle w:val="ListBullet"/>
      </w:pPr>
      <w:r>
        <w:rPr>
          <w:sz w:val="20"/>
        </w:rPr>
        <w:t xml:space="preserve">  CR-1  Aanhoudende rouwreactie</w:t>
      </w:r>
    </w:p>
    <w:p>
      <w:pPr>
        <w:pStyle w:val="ListBullet"/>
      </w:pPr>
      <w:r>
        <w:rPr>
          <w:sz w:val="20"/>
        </w:rPr>
        <w:t xml:space="preserve">  CR-2  Doorslaapinsomnie</w:t>
      </w:r>
    </w:p>
    <w:p>
      <w:pPr>
        <w:pStyle w:val="ListBullet"/>
      </w:pPr>
      <w:r>
        <w:rPr>
          <w:sz w:val="20"/>
        </w:rPr>
        <w:t xml:space="preserve">  CR-3  Schuldgedreven ruminatie</w:t>
      </w:r>
    </w:p>
    <w:p>
      <w:pPr>
        <w:pStyle w:val="ListBullet"/>
      </w:pPr>
      <w:r>
        <w:rPr>
          <w:sz w:val="20"/>
        </w:rPr>
        <w:t xml:space="preserve">  CR-4  Verminderde toekomstorientatie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genormaliseerd binnen elk netwerk).</w:t>
      </w:r>
    </w:p>
    <w:p>
      <w:r>
        <w:br w:type="page"/>
      </w:r>
    </w:p>
    <w:p>
      <w:pPr>
        <w:pStyle w:val="Heading2"/>
        <w:jc w:val="left"/>
      </w:pPr>
      <w:r>
        <w:t>Casus 1: 41-jarige leraar secundair onderwijs -- Deel 3</w:t>
      </w:r>
    </w:p>
    <w:p>
      <w:pPr>
        <w:jc w:val="left"/>
        <w:shd w:val="clear" w:color="auto" w:fill="EFF6FF"/>
      </w:pPr>
      <w:r>
        <w:rPr>
          <w:sz w:val="20"/>
        </w:rPr>
        <w:t>Casus 1: 41-jarige leraar secundair onderwijs</w:t>
      </w:r>
      <w:r>
        <w:br/>
      </w:r>
      <w:r>
        <w:rPr>
          <w:sz w:val="20"/>
        </w:rPr>
        <w:t>Emotionele uitputting, professionele depersonalisatie, sociale terugtrekking en cognitieve fouten op het werk.  Duur: 7 maanden.</w:t>
      </w:r>
    </w:p>
    <w:p>
      <w:r>
        <w:rPr>
          <w:b/>
          <w:sz w:val="20"/>
        </w:rPr>
        <w:t xml:space="preserve">21-daagse monitoring:  </w:t>
      </w:r>
      <w:r>
        <w:rPr>
          <w:sz w:val="20"/>
        </w:rPr>
        <w:t>Werkoverschrijding na werktijd: gem. 5,4 episodes/dag. Herstelactiviteiten: gem. 1,2/week. Sociaal contact op eigen initiatief: gem. 0,7/week. Professionele meestervaringen: gem. 0,9/dag. Slaapkwaliteit: gem. 4,1/10.</w:t>
      </w:r>
    </w:p>
    <w:p/>
    <w:p>
      <w:r>
        <w:rPr>
          <w:b/>
          <w:sz w:val="20"/>
        </w:rPr>
        <w:t>Bipartiet netwerk — predictoren (links) → criteria (rechts):</w:t>
      </w:r>
    </w:p>
    <w:p>
      <w:pPr>
        <w:jc w:val="center"/>
      </w:pPr>
      <w:r>
        <w:drawing>
          <wp:inline xmlns:a="http://schemas.openxmlformats.org/drawingml/2006/main" xmlns:pic="http://schemas.openxmlformats.org/drawingml/2006/picture">
            <wp:extent cx="5303520" cy="374339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3743394"/>
                    </a:xfrm>
                    <a:prstGeom prst="rect"/>
                  </pic:spPr>
                </pic:pic>
              </a:graphicData>
            </a:graphic>
          </wp:inline>
        </w:drawing>
      </w:r>
    </w:p>
    <w:p/>
    <w:p>
      <w:r>
        <w:rPr>
          <w:sz w:val="20"/>
        </w:rPr>
        <w:t>Beschikbare predictors:  P1: Werk-privegrens,  P2: Herstelactiviteit,  P3: Sociaal initiatief,  P4: Professionele meestervaring,  P5: Slaapkwaliteit</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63-jarige gepensioneerde professional -- Deel 3</w:t>
      </w:r>
    </w:p>
    <w:p>
      <w:pPr>
        <w:jc w:val="left"/>
        <w:shd w:val="clear" w:color="auto" w:fill="EFF6FF"/>
      </w:pPr>
      <w:r>
        <w:rPr>
          <w:sz w:val="20"/>
        </w:rPr>
        <w:t>Casus 2: 63-jarige gepensioneerde professional</w:t>
      </w:r>
      <w:r>
        <w:br/>
      </w:r>
      <w:r>
        <w:rPr>
          <w:sz w:val="20"/>
        </w:rPr>
        <w:t>Aanhoudende rouwreactie, doorslaapinsomnie, schuldgedreven ruminatie en verminderde toekomstorientatie.  Duur: 9 maanden na overlijden van partner.</w:t>
      </w:r>
    </w:p>
    <w:p>
      <w:r>
        <w:rPr>
          <w:b/>
          <w:sz w:val="20"/>
        </w:rPr>
        <w:t xml:space="preserve">21-daagse monitoring:  </w:t>
      </w:r>
      <w:r>
        <w:rPr>
          <w:sz w:val="20"/>
        </w:rPr>
        <w:t>Rouwintrusies: gem. 4,2/dag. Slaapkwaliteit: gem. 2,8/10. Sociale contactmomenten: gem. 3,1/week. Schuldgedachten: gem. 5,8/dag. Toekomstgerichte activiteiten: gem. 0,4/week. Betekenisgerichte activiteit uitgevoerd: 4/21 dagen.</w:t>
      </w:r>
    </w:p>
    <w:p/>
    <w:p>
      <w:r>
        <w:rPr>
          <w:b/>
          <w:sz w:val="20"/>
        </w:rPr>
        <w:t>Bipartiet netwerk — predictoren (links) → criteria (rechts):</w:t>
      </w:r>
    </w:p>
    <w:p>
      <w:pPr>
        <w:jc w:val="center"/>
      </w:pPr>
      <w:r>
        <w:drawing>
          <wp:inline xmlns:a="http://schemas.openxmlformats.org/drawingml/2006/main" xmlns:pic="http://schemas.openxmlformats.org/drawingml/2006/picture">
            <wp:extent cx="5303520" cy="374339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3743394"/>
                    </a:xfrm>
                    <a:prstGeom prst="rect"/>
                  </pic:spPr>
                </pic:pic>
              </a:graphicData>
            </a:graphic>
          </wp:inline>
        </w:drawing>
      </w:r>
    </w:p>
    <w:p/>
    <w:p>
      <w:r>
        <w:rPr>
          <w:sz w:val="20"/>
        </w:rPr>
        <w:t>Beschikbare predictors:  P1: Betekenisgerichte activiteit,  P2: Slaap-waakconsistentie,  P3: Sociale steunopname,  P4: Zelfcompassie,  P5: Toekomstplanning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41-jarige leraar secundair onderwijs -- Deel 4</w:t>
      </w:r>
    </w:p>
    <w:p>
      <w:r>
        <w:rPr>
          <w:b/>
          <w:sz w:val="20"/>
        </w:rPr>
        <w:t>Gestandaardiseerde behandeldoelen uit Deel 3:</w:t>
      </w:r>
    </w:p>
    <w:p>
      <w:pPr>
        <w:pStyle w:val="ListBullet"/>
      </w:pPr>
      <w:r>
        <w:rPr>
          <w:b/>
          <w:sz w:val="18"/>
        </w:rPr>
        <w:t xml:space="preserve">Werk-privegrens  </w:t>
      </w:r>
      <w:r>
        <w:rPr>
          <w:sz w:val="18"/>
        </w:rPr>
        <w:t>(sterkste onderhoudende factor voor uitputting; frequente overschrijding na werktijd)</w:t>
      </w:r>
    </w:p>
    <w:p>
      <w:pPr>
        <w:pStyle w:val="ListBullet"/>
      </w:pPr>
      <w:r>
        <w:rPr>
          <w:b/>
          <w:sz w:val="18"/>
        </w:rPr>
        <w:t xml:space="preserve">Herstelactiviteit  </w:t>
      </w:r>
      <w:r>
        <w:rPr>
          <w:sz w:val="18"/>
        </w:rPr>
        <w:t>(kritisch laag niveau (1,2/week); relevant voor CR-1 en CR-3)</w:t>
      </w:r>
    </w:p>
    <w:p>
      <w:pPr>
        <w:pStyle w:val="ListBullet"/>
      </w:pPr>
      <w:r>
        <w:rPr>
          <w:b/>
          <w:sz w:val="18"/>
        </w:rPr>
        <w:t xml:space="preserve">Professionele meestervaring  </w:t>
      </w:r>
      <w:r>
        <w:rPr>
          <w:sz w:val="18"/>
        </w:rPr>
        <w:t>(kan depersonalisatie temperen en dag-tot-dag positieve variatie benutten)</w:t>
      </w:r>
    </w:p>
    <w:p/>
    <w:p>
      <w:r>
        <w:rPr>
          <w:b/>
          <w:sz w:val="20"/>
        </w:rPr>
        <w:t>Opdracht: selecteer EXACT 5 EMA-items die het best passen als volgende subpredictoren. Vink de 5 geselecteerde items aan.</w:t>
      </w:r>
    </w:p>
    <w:p/>
    <w:p>
      <w:pPr>
        <w:pStyle w:val="ListParagraph"/>
        <w:ind w:left="283"/>
      </w:pPr>
      <w:r>
        <w:rPr>
          <w:sz w:val="20"/>
        </w:rPr>
        <w:t xml:space="preserve"> 1.  □  Aantal huishoudelijke taken voltooid (aantal)</w:t>
      </w:r>
    </w:p>
    <w:p>
      <w:pPr>
        <w:pStyle w:val="ListParagraph"/>
        <w:ind w:left="283"/>
      </w:pPr>
      <w:r>
        <w:rPr>
          <w:sz w:val="20"/>
        </w:rPr>
        <w:t xml:space="preserve"> 2.  □  Werkoverschrijding na werktijd (min)</w:t>
      </w:r>
    </w:p>
    <w:p>
      <w:pPr>
        <w:pStyle w:val="ListParagraph"/>
        <w:ind w:left="283"/>
      </w:pPr>
      <w:r>
        <w:rPr>
          <w:sz w:val="20"/>
        </w:rPr>
        <w:t xml:space="preserve"> 3.  □  Piekeren over gezinszaken in de avond (0--10)</w:t>
      </w:r>
    </w:p>
    <w:p>
      <w:pPr>
        <w:pStyle w:val="ListParagraph"/>
        <w:ind w:left="283"/>
      </w:pPr>
      <w:r>
        <w:rPr>
          <w:sz w:val="20"/>
        </w:rPr>
        <w:t xml:space="preserve"> 4.  □  Cafeine-inname na 15.00 uur (aantal)</w:t>
      </w:r>
    </w:p>
    <w:p>
      <w:pPr>
        <w:pStyle w:val="ListParagraph"/>
        <w:ind w:left="283"/>
      </w:pPr>
      <w:r>
        <w:rPr>
          <w:sz w:val="20"/>
        </w:rPr>
        <w:t xml:space="preserve"> 5.  □  Herstelactiviteit vandaag uitgevoerd (ja/nee)</w:t>
      </w:r>
    </w:p>
    <w:p>
      <w:pPr>
        <w:pStyle w:val="ListParagraph"/>
        <w:ind w:left="283"/>
      </w:pPr>
      <w:r>
        <w:rPr>
          <w:sz w:val="20"/>
        </w:rPr>
        <w:t xml:space="preserve"> 6.  □  Aantal lesuren vandaag (uren)</w:t>
      </w:r>
    </w:p>
    <w:p>
      <w:pPr>
        <w:pStyle w:val="ListParagraph"/>
        <w:ind w:left="283"/>
      </w:pPr>
      <w:r>
        <w:rPr>
          <w:sz w:val="20"/>
        </w:rPr>
        <w:t xml:space="preserve"> 7.  □  Eetlust bij avondmaal (0--10)</w:t>
      </w:r>
    </w:p>
    <w:p>
      <w:pPr>
        <w:pStyle w:val="ListParagraph"/>
        <w:ind w:left="283"/>
      </w:pPr>
      <w:r>
        <w:rPr>
          <w:sz w:val="20"/>
        </w:rPr>
        <w:t xml:space="preserve"> 8.  □  Professionele meestervaring vandaag (0--10)</w:t>
      </w:r>
    </w:p>
    <w:p>
      <w:pPr>
        <w:pStyle w:val="ListParagraph"/>
        <w:ind w:left="283"/>
      </w:pPr>
      <w:r>
        <w:rPr>
          <w:sz w:val="20"/>
        </w:rPr>
        <w:t xml:space="preserve"> 9.  □  Ochtendspanning bij ontwaken (0--10)</w:t>
      </w:r>
    </w:p>
    <w:p>
      <w:pPr>
        <w:pStyle w:val="ListParagraph"/>
        <w:ind w:left="283"/>
      </w:pPr>
      <w:r>
        <w:rPr>
          <w:sz w:val="20"/>
        </w:rPr>
        <w:t>10.  □  Aantal nieuwschecks in de avond (aantal)</w:t>
      </w:r>
    </w:p>
    <w:p>
      <w:pPr>
        <w:pStyle w:val="ListParagraph"/>
        <w:ind w:left="283"/>
      </w:pPr>
      <w:r>
        <w:rPr>
          <w:sz w:val="20"/>
        </w:rPr>
        <w:t>11.  □  Slaapkwaliteit bij ontwaken (0--10)</w:t>
      </w:r>
    </w:p>
    <w:p>
      <w:pPr>
        <w:pStyle w:val="ListParagraph"/>
        <w:ind w:left="283"/>
      </w:pPr>
      <w:r>
        <w:rPr>
          <w:sz w:val="20"/>
        </w:rPr>
        <w:t>12.  □  Lichamelijke pijnklachten na het werk (0--10)</w:t>
      </w:r>
    </w:p>
    <w:p>
      <w:pPr>
        <w:pStyle w:val="ListParagraph"/>
        <w:ind w:left="283"/>
      </w:pPr>
      <w:r>
        <w:rPr>
          <w:sz w:val="20"/>
        </w:rPr>
        <w:t>13.  □  Administratieve achterstand (0--10)</w:t>
      </w:r>
    </w:p>
    <w:p>
      <w:pPr>
        <w:pStyle w:val="ListParagraph"/>
        <w:ind w:left="283"/>
      </w:pPr>
      <w:r>
        <w:rPr>
          <w:sz w:val="20"/>
        </w:rPr>
        <w:t>14.  □  Reistijd woon-werk (min)</w:t>
      </w:r>
    </w:p>
    <w:p>
      <w:pPr>
        <w:pStyle w:val="ListParagraph"/>
        <w:ind w:left="283"/>
      </w:pPr>
      <w:r>
        <w:rPr>
          <w:sz w:val="20"/>
        </w:rPr>
        <w:t>15.  □  Middagdutje genomen (ja/nee)</w:t>
      </w:r>
    </w:p>
    <w:p>
      <w:pPr>
        <w:pStyle w:val="ListParagraph"/>
        <w:ind w:left="283"/>
      </w:pPr>
      <w:r>
        <w:rPr>
          <w:sz w:val="20"/>
        </w:rPr>
        <w:t>16.  □  Sociaal contact op eigen initiatief (ja/nee)</w:t>
      </w:r>
    </w:p>
    <w:p>
      <w:pPr>
        <w:pStyle w:val="ListParagraph"/>
        <w:ind w:left="283"/>
      </w:pPr>
      <w:r>
        <w:rPr>
          <w:sz w:val="20"/>
        </w:rPr>
        <w:t>17.  □  Aantal maaltijden overgeslagen (aantal)</w:t>
      </w:r>
    </w:p>
    <w:p>
      <w:pPr>
        <w:pStyle w:val="ListParagraph"/>
        <w:ind w:left="283"/>
      </w:pPr>
      <w:r>
        <w:rPr>
          <w:sz w:val="20"/>
        </w:rPr>
        <w:t>18.  □  Schermtijd in de late avond (min)</w:t>
      </w:r>
    </w:p>
    <w:p>
      <w:pPr>
        <w:pStyle w:val="ListParagraph"/>
        <w:ind w:left="283"/>
      </w:pPr>
      <w:r>
        <w:rPr>
          <w:sz w:val="20"/>
        </w:rPr>
        <w:t>19.  □  Irritatie tegenover collega's (0--10)</w:t>
      </w:r>
    </w:p>
    <w:p>
      <w:pPr>
        <w:pStyle w:val="ListParagraph"/>
        <w:ind w:left="283"/>
      </w:pPr>
      <w:r>
        <w:rPr>
          <w:sz w:val="20"/>
        </w:rPr>
        <w:t>20.  □  Weekendplanning opgesteld (ja/nee)</w:t>
      </w:r>
    </w:p>
    <w:p/>
    <w:p>
      <w:r>
        <w:rPr>
          <w:b/>
          <w:sz w:val="20"/>
        </w:rPr>
        <w:t>Totaal geselecteerd: _____ / 5</w:t>
      </w:r>
    </w:p>
    <w:p>
      <w:r>
        <w:br w:type="page"/>
      </w:r>
    </w:p>
    <w:p>
      <w:pPr>
        <w:pStyle w:val="Heading2"/>
        <w:jc w:val="left"/>
      </w:pPr>
      <w:r>
        <w:t>Casus 2: 63-jarige gepensioneerde professional -- Deel 4</w:t>
      </w:r>
    </w:p>
    <w:p>
      <w:r>
        <w:rPr>
          <w:b/>
          <w:sz w:val="20"/>
        </w:rPr>
        <w:t>Gestandaardiseerde behandeldoelen uit Deel 3:</w:t>
      </w:r>
    </w:p>
    <w:p>
      <w:pPr>
        <w:pStyle w:val="ListBullet"/>
      </w:pPr>
      <w:r>
        <w:rPr>
          <w:b/>
          <w:sz w:val="18"/>
        </w:rPr>
        <w:t xml:space="preserve">Betekenisgerichte activiteit  </w:t>
      </w:r>
      <w:r>
        <w:rPr>
          <w:sz w:val="18"/>
        </w:rPr>
        <w:t>(slechts 4/21 dagen uitgevoerd; hoog potentieel voor CR-1 en CR-4)</w:t>
      </w:r>
    </w:p>
    <w:p>
      <w:pPr>
        <w:pStyle w:val="ListBullet"/>
      </w:pPr>
      <w:r>
        <w:rPr>
          <w:b/>
          <w:sz w:val="18"/>
        </w:rPr>
        <w:t xml:space="preserve">Slaap-waakconsistentie  </w:t>
      </w:r>
      <w:r>
        <w:rPr>
          <w:sz w:val="18"/>
        </w:rPr>
        <w:t>(lage slaapkwaliteit ondermijnt emotieregulatie en rouwverwerking)</w:t>
      </w:r>
    </w:p>
    <w:p>
      <w:pPr>
        <w:pStyle w:val="ListBullet"/>
      </w:pPr>
      <w:r>
        <w:rPr>
          <w:b/>
          <w:sz w:val="18"/>
        </w:rPr>
        <w:t xml:space="preserve">Zelfcompassie  </w:t>
      </w:r>
      <w:r>
        <w:rPr>
          <w:sz w:val="18"/>
        </w:rPr>
        <w:t>(schuldgedreven ruminatie is hoog en vraagt een direct corrigerend proces)</w:t>
      </w:r>
    </w:p>
    <w:p/>
    <w:p>
      <w:r>
        <w:rPr>
          <w:b/>
          <w:sz w:val="20"/>
        </w:rPr>
        <w:t>Opdracht: selecteer EXACT 5 EMA-items die het best passen als volgende subpredictoren. Vink de 5 geselecteerde items aan.</w:t>
      </w:r>
    </w:p>
    <w:p/>
    <w:p>
      <w:pPr>
        <w:pStyle w:val="ListParagraph"/>
        <w:ind w:left="283"/>
      </w:pPr>
      <w:r>
        <w:rPr>
          <w:sz w:val="20"/>
        </w:rPr>
        <w:t xml:space="preserve"> 1.  □  Wandeling buiten uitgevoerd (ja/nee)</w:t>
      </w:r>
    </w:p>
    <w:p>
      <w:pPr>
        <w:pStyle w:val="ListParagraph"/>
        <w:ind w:left="283"/>
      </w:pPr>
      <w:r>
        <w:rPr>
          <w:sz w:val="20"/>
        </w:rPr>
        <w:t xml:space="preserve"> 2.  □  App-berichten met familie verstuurd (aantal)</w:t>
      </w:r>
    </w:p>
    <w:p>
      <w:pPr>
        <w:pStyle w:val="ListParagraph"/>
        <w:ind w:left="283"/>
      </w:pPr>
      <w:r>
        <w:rPr>
          <w:sz w:val="20"/>
        </w:rPr>
        <w:t xml:space="preserve"> 3.  □  Betekenisgerichte activiteit uitgevoerd (ja/nee)</w:t>
      </w:r>
    </w:p>
    <w:p>
      <w:pPr>
        <w:pStyle w:val="ListParagraph"/>
        <w:ind w:left="283"/>
      </w:pPr>
      <w:r>
        <w:rPr>
          <w:sz w:val="20"/>
        </w:rPr>
        <w:t xml:space="preserve"> 4.  □  Cafeine-inname na 17.00 uur (aantal)</w:t>
      </w:r>
    </w:p>
    <w:p>
      <w:pPr>
        <w:pStyle w:val="ListParagraph"/>
        <w:ind w:left="283"/>
      </w:pPr>
      <w:r>
        <w:rPr>
          <w:sz w:val="20"/>
        </w:rPr>
        <w:t xml:space="preserve"> 5.  □  Televisietijd in de avond (min)</w:t>
      </w:r>
    </w:p>
    <w:p>
      <w:pPr>
        <w:pStyle w:val="ListParagraph"/>
        <w:ind w:left="283"/>
      </w:pPr>
      <w:r>
        <w:rPr>
          <w:sz w:val="20"/>
        </w:rPr>
        <w:t xml:space="preserve"> 6.  □  Vaste slaap-waakroutine gevolgd (ja/nee)</w:t>
      </w:r>
    </w:p>
    <w:p>
      <w:pPr>
        <w:pStyle w:val="ListParagraph"/>
        <w:ind w:left="283"/>
      </w:pPr>
      <w:r>
        <w:rPr>
          <w:sz w:val="20"/>
        </w:rPr>
        <w:t xml:space="preserve"> 7.  □  Maaltijdlust vandaag (0--10)</w:t>
      </w:r>
    </w:p>
    <w:p>
      <w:pPr>
        <w:pStyle w:val="ListParagraph"/>
        <w:ind w:left="283"/>
      </w:pPr>
      <w:r>
        <w:rPr>
          <w:sz w:val="20"/>
        </w:rPr>
        <w:t xml:space="preserve"> 8.  □  Werk- of zorgtaken voor anderen (min)</w:t>
      </w:r>
    </w:p>
    <w:p>
      <w:pPr>
        <w:pStyle w:val="ListParagraph"/>
        <w:ind w:left="283"/>
      </w:pPr>
      <w:r>
        <w:rPr>
          <w:sz w:val="20"/>
        </w:rPr>
        <w:t xml:space="preserve"> 9.  □  Zelfcompassie-oefening vandaag uitgevoerd (ja/nee)</w:t>
      </w:r>
    </w:p>
    <w:p>
      <w:pPr>
        <w:pStyle w:val="ListParagraph"/>
        <w:ind w:left="283"/>
      </w:pPr>
      <w:r>
        <w:rPr>
          <w:sz w:val="20"/>
        </w:rPr>
        <w:t>10.  □  Middagdutje genomen (ja/nee)</w:t>
      </w:r>
    </w:p>
    <w:p>
      <w:pPr>
        <w:pStyle w:val="ListParagraph"/>
        <w:ind w:left="283"/>
      </w:pPr>
      <w:r>
        <w:rPr>
          <w:sz w:val="20"/>
        </w:rPr>
        <w:t>11.  □  Lichamelijke onrust in de avond (0--10)</w:t>
      </w:r>
    </w:p>
    <w:p>
      <w:pPr>
        <w:pStyle w:val="ListParagraph"/>
        <w:ind w:left="283"/>
      </w:pPr>
      <w:r>
        <w:rPr>
          <w:sz w:val="20"/>
        </w:rPr>
        <w:t>12.  □  Intrusieve rouwgedachten intensiteit (0--10)</w:t>
      </w:r>
    </w:p>
    <w:p>
      <w:pPr>
        <w:pStyle w:val="ListParagraph"/>
        <w:ind w:left="283"/>
      </w:pPr>
      <w:r>
        <w:rPr>
          <w:sz w:val="20"/>
        </w:rPr>
        <w:t>13.  □  Schermtijd na 21.00 uur (min)</w:t>
      </w:r>
    </w:p>
    <w:p>
      <w:pPr>
        <w:pStyle w:val="ListParagraph"/>
        <w:ind w:left="283"/>
      </w:pPr>
      <w:r>
        <w:rPr>
          <w:sz w:val="20"/>
        </w:rPr>
        <w:t>14.  □  Vermijden van herinneringsvoorwerpen (ja/nee)</w:t>
      </w:r>
    </w:p>
    <w:p>
      <w:pPr>
        <w:pStyle w:val="ListParagraph"/>
        <w:ind w:left="283"/>
      </w:pPr>
      <w:r>
        <w:rPr>
          <w:sz w:val="20"/>
        </w:rPr>
        <w:t>15.  □  Alcoholinname in de avond (aantal)</w:t>
      </w:r>
    </w:p>
    <w:p>
      <w:pPr>
        <w:pStyle w:val="ListParagraph"/>
        <w:ind w:left="283"/>
      </w:pPr>
      <w:r>
        <w:rPr>
          <w:sz w:val="20"/>
        </w:rPr>
        <w:t>16.  □  Huishoudelijke taken voltooid (aantal)</w:t>
      </w:r>
    </w:p>
    <w:p>
      <w:pPr>
        <w:pStyle w:val="ListParagraph"/>
        <w:ind w:left="283"/>
      </w:pPr>
      <w:r>
        <w:rPr>
          <w:sz w:val="20"/>
        </w:rPr>
        <w:t>17.  □  Sociaal contactmoment vandaag (ja/nee)</w:t>
      </w:r>
    </w:p>
    <w:p>
      <w:pPr>
        <w:pStyle w:val="ListParagraph"/>
        <w:ind w:left="283"/>
      </w:pPr>
      <w:r>
        <w:rPr>
          <w:sz w:val="20"/>
        </w:rPr>
        <w:t>18.  □  Aantal afspraken buitenshuis gepland (aantal)</w:t>
      </w:r>
    </w:p>
    <w:p>
      <w:pPr>
        <w:pStyle w:val="ListParagraph"/>
        <w:ind w:left="283"/>
      </w:pPr>
      <w:r>
        <w:rPr>
          <w:sz w:val="20"/>
        </w:rPr>
        <w:t>19.  □  Pijnintensiteit in gewrichten (0--10)</w:t>
      </w:r>
    </w:p>
    <w:p>
      <w:pPr>
        <w:pStyle w:val="ListParagraph"/>
        <w:ind w:left="283"/>
      </w:pPr>
      <w:r>
        <w:rPr>
          <w:sz w:val="20"/>
        </w:rPr>
        <w:t>20.  □  Ochtendenergie bij opstaan (0--10)</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41-jarige leraar secundair onderwijs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Uitgesproken werkgerelateerde uitputting met verlies aan betekenis en toenemende sociale terugtrekking.</w:t>
            </w:r>
          </w:p>
        </w:tc>
      </w:tr>
      <w:tr>
        <w:tc>
          <w:tcPr>
            <w:tcW w:type="dxa" w:w="2268"/>
          </w:tcPr>
          <w:p>
            <w:r>
              <w:rPr>
                <w:b/>
                <w:color w:val="047857"/>
                <w:sz w:val="18"/>
              </w:rPr>
              <w:t>Behandeldoel</w:t>
            </w:r>
          </w:p>
        </w:tc>
        <w:tc>
          <w:tcPr>
            <w:tcW w:type="dxa" w:w="4703"/>
          </w:tcPr>
          <w:p>
            <w:r>
              <w:rPr>
                <w:sz w:val="18"/>
              </w:rPr>
              <w:t>Een duidelijke werk-privegrens installeren en na het werk consequent herstelgedrag activeren.</w:t>
            </w:r>
          </w:p>
        </w:tc>
      </w:tr>
      <w:tr>
        <w:tc>
          <w:tcPr>
            <w:tcW w:type="dxa" w:w="2268"/>
          </w:tcPr>
          <w:p>
            <w:r>
              <w:rPr>
                <w:b/>
                <w:color w:val="047857"/>
                <w:sz w:val="18"/>
              </w:rPr>
              <w:t>Voornaamste barriere</w:t>
            </w:r>
          </w:p>
        </w:tc>
        <w:tc>
          <w:tcPr>
            <w:tcW w:type="dxa" w:w="4703"/>
          </w:tcPr>
          <w:p>
            <w:r>
              <w:rPr>
                <w:sz w:val="18"/>
              </w:rPr>
              <w:t>Actieplanning ontbreekt: er is geen concreet moment of signaal waarop de werkmodus stopt.</w:t>
            </w:r>
          </w:p>
        </w:tc>
      </w:tr>
      <w:tr>
        <w:tc>
          <w:tcPr>
            <w:tcW w:type="dxa" w:w="2268"/>
          </w:tcPr>
          <w:p>
            <w:r>
              <w:rPr>
                <w:b/>
                <w:color w:val="047857"/>
                <w:sz w:val="18"/>
              </w:rPr>
              <w:t>Copingstrategie</w:t>
            </w:r>
          </w:p>
        </w:tc>
        <w:tc>
          <w:tcPr>
            <w:tcW w:type="dxa" w:w="4703"/>
          </w:tcPr>
          <w:p>
            <w:r>
              <w:rPr>
                <w:sz w:val="18"/>
              </w:rPr>
              <w:t>Koppel een vaste afsluitsignalering aan een kleine herstelactiviteit die onmiddellijk na het einde van de werkdag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63-jarige gepensioneerde professional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rouw met uitgesproken schuldbeleving en weinig toekomstgerichte betrokkenheid.</w:t>
            </w:r>
          </w:p>
        </w:tc>
      </w:tr>
      <w:tr>
        <w:tc>
          <w:tcPr>
            <w:tcW w:type="dxa" w:w="2268"/>
          </w:tcPr>
          <w:p>
            <w:r>
              <w:rPr>
                <w:b/>
                <w:color w:val="047857"/>
                <w:sz w:val="18"/>
              </w:rPr>
              <w:t>Behandeldoel</w:t>
            </w:r>
          </w:p>
        </w:tc>
        <w:tc>
          <w:tcPr>
            <w:tcW w:type="dxa" w:w="4703"/>
          </w:tcPr>
          <w:p>
            <w:r>
              <w:rPr>
                <w:sz w:val="18"/>
              </w:rPr>
              <w:t>Een kleine maar betekenisvolle activiteit plannen die verbinding maakt met herinnering en toekomst.</w:t>
            </w:r>
          </w:p>
        </w:tc>
      </w:tr>
      <w:tr>
        <w:tc>
          <w:tcPr>
            <w:tcW w:type="dxa" w:w="2268"/>
          </w:tcPr>
          <w:p>
            <w:r>
              <w:rPr>
                <w:b/>
                <w:color w:val="047857"/>
                <w:sz w:val="18"/>
              </w:rPr>
              <w:t>Voornaamste barriere</w:t>
            </w:r>
          </w:p>
        </w:tc>
        <w:tc>
          <w:tcPr>
            <w:tcW w:type="dxa" w:w="4703"/>
          </w:tcPr>
          <w:p>
            <w:r>
              <w:rPr>
                <w:sz w:val="18"/>
              </w:rPr>
              <w:t>Motivationele inertie: de eerste stap voelt zinloos of emotioneel te zwaar.</w:t>
            </w:r>
          </w:p>
        </w:tc>
      </w:tr>
      <w:tr>
        <w:tc>
          <w:tcPr>
            <w:tcW w:type="dxa" w:w="2268"/>
          </w:tcPr>
          <w:p>
            <w:r>
              <w:rPr>
                <w:b/>
                <w:color w:val="047857"/>
                <w:sz w:val="18"/>
              </w:rPr>
              <w:t>Copingstrategie</w:t>
            </w:r>
          </w:p>
        </w:tc>
        <w:tc>
          <w:tcPr>
            <w:tcW w:type="dxa" w:w="4703"/>
          </w:tcPr>
          <w:p>
            <w:r>
              <w:rPr>
                <w:sz w:val="18"/>
              </w:rPr>
              <w:t>Verklein de instap naar een tijdsafgebakende micro-actie, bijvoorbeeld een korte schrijfoefening of een vast herinneringsmoment.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PHOENIX-PRE-HCP-PRE-02</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