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HCP-PRE-01</w:t>
        <w:br/>
        <w:t>Toegewezen casussen: C01 (28-jarige softwareontwikkelaar)  en  C02 (34-jarige administratief medewerker in de zorg)</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een ontologiegebaseerd multi-agentsysteem voor gepersonaliseerde digitale geestelijke gezondheidszorg (PHOENIX)</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 (masterproefstudent)</w:t>
            </w:r>
          </w:p>
        </w:tc>
      </w:tr>
      <w:tr>
        <w:tc>
          <w:tcPr>
            <w:tcW w:type="dxa" w:w="2551"/>
          </w:tcPr>
          <w:p>
            <w:r>
              <w:rPr>
                <w:b/>
                <w:sz w:val="18"/>
              </w:rPr>
              <w:t>Promotoren</w:t>
            </w:r>
          </w:p>
        </w:tc>
        <w:tc>
          <w:tcPr>
            <w:tcW w:type="dxa" w:w="4703"/>
          </w:tcPr>
          <w:p>
            <w:r>
              <w:rPr>
                <w:sz w:val="18"/>
              </w:rPr>
              <w:t>Prof. Dr.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pPr>
        <w:shd w:val="clear" w:color="auto" w:fill="DBEAFE"/>
      </w:pPr>
      <w:r>
        <w:rPr>
          <w:sz w:val="20"/>
        </w:rPr>
        <w:t>DOEL VAN DEZE BUNDEL</w:t>
        <w:br/>
        <w:br/>
        <w:t>U neemt deel aan een evaluatiestudie waarin zorgprofessionals onafhankelijk dezelfde vijf klinische redeneerstappen uitvoeren als het PHOENIX-systeem. Uw antwoorden vormen het menselijke referentiecorpus voor een latere dubbelblinde vergelijking met systeemoutput.</w:t>
        <w:br/>
        <w:br/>
        <w:t>Voor elk van uw twee casussen vult u dezelfde vijf delen in: (1) operationalisering, (2) initieel observatiemodel, (3) prioritering van behandeldoelen, (4) verfijning van EMA-metingen en (5) een mobiele coachingsboodschap.</w:t>
        <w:br/>
        <w:br/>
        <w:t>We vragen uw eigen klinische oordeelsvorming. Antwoord zoals u dat in een reele professionele context zou doen, maar werk strikt volgens de instructies op de volgende pagina.</w:t>
      </w:r>
    </w:p>
    <w:p/>
    <w:p>
      <w:pPr>
        <w:shd w:val="clear" w:color="auto" w:fill="FEF3C7"/>
      </w:pPr>
      <w:r>
        <w:rPr>
          <w:sz w:val="20"/>
        </w:rPr>
        <w:t>VERTROUWELIJKHEID EN GEÏNFORMEERDE TOESTEMMING</w:t>
        <w:br/>
        <w:br/>
        <w:t>Uw antwoorden worden voor analyse geanonimiseerd en uitsluitend gebruikt binnen deze masterproefstudie. Na ontvangst worden ze opgenomen in het expertreferentiecorpus voor de latere blind evaluatie van het PHOENIX-systeem.</w:t>
        <w:br/>
        <w:br/>
        <w:t>Deelname is volledig vrijwillig. U kan zich op elk moment zonder opgave van reden terugtrekken door contact op te nemen met de onderzoeker via stijn.vanseveren@ugent.be. Terugtrekking heeft geen gevolgen.</w:t>
        <w:br/>
        <w:br/>
        <w:t>Door dit ingevulde document te bezorgen aan de onderzoeker, bevestigt u dat:</w:t>
        <w:br/>
        <w:t xml:space="preserve">  (1) u de bovenstaande informatie hebt gelezen en begrepen;</w:t>
        <w:br/>
        <w:t xml:space="preserve">  (2) u vrijwillig instemt met deelname aan deze studie;</w:t>
        <w:br/>
        <w:t xml:space="preserve">  (3) u begrijpt dat uw antwoorden geanonimiseerd worden verwerkt.</w:t>
        <w:br/>
        <w:b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en de blind scoringswaarde van de studie.</w:t>
        <w:br/>
        <w:t>3. Gebruik in latere delen uitsluitend de meegeleverde gestandaardiseerde context. Die is bewust vastgezet zodat alle deelnemers op identieke input reageren.</w:t>
        <w:br/>
        <w:t>4. Herwerk eerdere antwoorden NIET retroactief nadat u latere context hebt gezien.</w:t>
        <w:br/>
        <w:t>5. Noteer of typ rechtstreeks in de voorziene antwoordzones. Onleesbare of ambigu geformuleerde antwoorden bemoeilijken latere blind beoordeling.</w:t>
      </w:r>
    </w:p>
    <w:p/>
    <w:p>
      <w:pPr>
        <w:shd w:val="clear" w:color="auto" w:fill="ECFDF5"/>
      </w:pPr>
      <w:r>
        <w:rPr>
          <w:sz w:val="20"/>
        </w:rPr>
        <w:t>EMA-PRINCIPES (relevant voor Deel 2 en Deel 4):</w:t>
        <w:br/>
        <w:t>Ecological Momentary Assessment (EMA) meet dagelijkse schommelingen via een mobiele app. Elke EMA-variabele moet aan vier vereisten voldoen:</w:t>
        <w:br/>
        <w:t xml:space="preserve">  (1) Dagelijks rapporteerbaar via een korte smartphone-vraag.</w:t>
        <w:br/>
        <w:t xml:space="preserve">  (2) Dynamisch en veranderbaar -- geen vaste diagnose, trait of achtergrondkenmerk.</w:t>
        <w:br/>
        <w:t xml:space="preserve">  (3) Meetbaar in een eenvoudig format: ja/nee, aantal, minuten of een 0-10 score.</w:t>
        <w:br/>
        <w:t xml:space="preserve">  (4) Klinisch relevant voor opvolging -- toont binnen-persoonsvariatie die therapeutisch informatief is.</w:t>
        <w:br/>
        <w:b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C01: 28-jarige softwareontwikkelaar</w:t>
      </w:r>
    </w:p>
    <w:p>
      <w:pPr>
        <w:shd w:val="clear" w:color="auto" w:fill="EFF6FF"/>
      </w:pPr>
      <w:r>
        <w:rPr>
          <w:sz w:val="20"/>
        </w:rPr>
        <w:t>CASUSVIGNET  |  Duur: 2 maanden</w:t>
        <w:br/>
        <w:b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C02: 34-jarige administratief medewerker in de zorg</w:t>
      </w:r>
    </w:p>
    <w:p>
      <w:pPr>
        <w:shd w:val="clear" w:color="auto" w:fill="EFF6FF"/>
      </w:pPr>
      <w:r>
        <w:rPr>
          <w:sz w:val="20"/>
        </w:rPr>
        <w:t>CASUSVIGNET  |  Duur: 3 maanden</w:t>
        <w:br/>
        <w:b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C01: Deel 2</w:t>
      </w:r>
    </w:p>
    <w:p>
      <w:pPr>
        <w:shd w:val="clear" w:color="auto" w:fill="EFF6FF"/>
      </w:pPr>
      <w:r>
        <w:rPr>
          <w:sz w:val="20"/>
        </w:rPr>
        <w:t>Casus C01: verkorte klachtomschrijving</w:t>
        <w:b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C02: Deel 2</w:t>
      </w:r>
    </w:p>
    <w:p>
      <w:pPr>
        <w:shd w:val="clear" w:color="auto" w:fill="EFF6FF"/>
      </w:pPr>
      <w:r>
        <w:rPr>
          <w:sz w:val="20"/>
        </w:rPr>
        <w:t>Casus C02: verkorte klachtomschrijving</w:t>
        <w:b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C01: Deel 3</w:t>
      </w:r>
    </w:p>
    <w:p>
      <w:pPr>
        <w:shd w:val="clear" w:color="auto" w:fill="EFF6FF"/>
      </w:pPr>
      <w:r>
        <w:rPr>
          <w:sz w:val="20"/>
        </w:rPr>
        <w:t>Casus C01: 28-jarige softwareontwikkelaar</w:t>
        <w:b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(zie PDF voor visuele weergave):</w:t>
      </w:r>
    </w:p>
    <w:p>
      <w:r>
        <w:rPr>
          <w:b/>
          <w:color w:val="B91C1C"/>
          <w:sz w:val="18"/>
        </w:rPr>
        <w:t xml:space="preserve">  Sterke relaties (rood):  </w:t>
      </w:r>
      <w:r>
        <w:rPr>
          <w:sz w:val="18"/>
        </w:rPr>
        <w:t>CR-1 (Inslaapproblemen) &lt;-&gt; P1 (Late avondschermtijd),  CR-2 (Cognitieve hyperarousal) &lt;-&gt; P1 (Late avondschermtijd),  CR-2 (Cognitieve hyperarousal) &lt;-&gt; P3 (Preslaap cognitieve offloading),  CR-3 (Sociale anhedonie) &lt;-&gt; P4 (Sociale participatie)</w:t>
      </w:r>
    </w:p>
    <w:p>
      <w:r>
        <w:rPr>
          <w:b/>
          <w:color w:val="1D4ED8"/>
          <w:sz w:val="18"/>
        </w:rPr>
        <w:t xml:space="preserve">  Matige relaties (blauw):  </w:t>
      </w:r>
      <w:r>
        <w:rPr>
          <w:sz w:val="18"/>
        </w:rPr>
        <w:t>CR-2 (Cognitieve hyperarousal) &lt;-&gt; P2 (Dagelijkse taakaccumulatie),  CR-1 (Inslaapproblemen) &lt;-&gt; P3 (Preslaap cognitieve offloading),  CR-1 (Inslaapproblemen) &lt;-&gt; P5 (Aerobe beweging),  CR-4 (Stressgerelateerde spierspanning) &lt;-&gt; P5 (Aerobe beweging)</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C02: Deel 3</w:t>
      </w:r>
    </w:p>
    <w:p>
      <w:pPr>
        <w:shd w:val="clear" w:color="auto" w:fill="EFF6FF"/>
      </w:pPr>
      <w:r>
        <w:rPr>
          <w:sz w:val="20"/>
        </w:rPr>
        <w:t>Casus C02: 34-jarige administratief medewerker in de zorg</w:t>
        <w:b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(zie PDF voor visuele weergave):</w:t>
      </w:r>
    </w:p>
    <w:p>
      <w:r>
        <w:rPr>
          <w:b/>
          <w:color w:val="B91C1C"/>
          <w:sz w:val="18"/>
        </w:rPr>
        <w:t xml:space="preserve">  Sterke relaties (rood):  </w:t>
      </w:r>
      <w:r>
        <w:rPr>
          <w:sz w:val="18"/>
        </w:rPr>
        <w:t>CR-3 (Situationele vermijding) &lt;-&gt; P1 (Vermijdingsgedrag),  CR-2 (Anticipatieangst) &lt;-&gt; P1 (Vermijdingsgedrag),  CR-2 (Anticipatieangst) &lt;-&gt; P2 (Veiligheidsgedrag),  CR-2 (Anticipatieangst) &lt;-&gt; P3 (Interoceptieve focus),  CR-1 (Recidiverende paniekepisoden) &lt;-&gt; P3 (Interoceptieve focus),  CR-3 (Situationele vermijding) &lt;-&gt; P4 (Geplande exposure)</w:t>
      </w:r>
    </w:p>
    <w:p>
      <w:r>
        <w:rPr>
          <w:b/>
          <w:color w:val="1D4ED8"/>
          <w:sz w:val="18"/>
        </w:rPr>
        <w:t xml:space="preserve">  Matige relaties (blauw):  </w:t>
      </w:r>
      <w:r>
        <w:rPr>
          <w:sz w:val="18"/>
        </w:rPr>
        <w:t>CR-1 (Recidiverende paniekepisoden) &lt;-&gt; P2 (Veiligheidsgedrag),  CR-4 (Beroepsmatige interferentie) &lt;-&gt; P5 (Dagstructuur)</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C01: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C02: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(C01 en C02).</w:t>
      </w:r>
    </w:p>
    <w:p/>
    <w:p>
      <w:r>
        <w:rPr>
          <w:b/>
          <w:sz w:val="20"/>
        </w:rPr>
        <w:t>Checklist voor terugbezorging -- gelieve alle vakjes af te vinken:</w:t>
      </w:r>
    </w:p>
    <w:p>
      <w:pPr>
        <w:spacing w:after="60"/>
        <w:ind w:left="170"/>
      </w:pPr>
      <w:r>
        <w:rPr>
          <w:sz w:val="20"/>
        </w:rPr>
        <w:t>□   Ik heb in Deel 1 voor beide casussen (C01 en C02)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shd w:val="clear" w:color="auto" w:fill="DBEAFE"/>
      </w:pPr>
      <w:r>
        <w:rPr>
          <w:sz w:val="20"/>
        </w:rPr>
        <w:t>VERTROUWELIJKHEID EN VERWERKING</w:t>
        <w:br/>
        <w:br/>
        <w:t>Na ontvangst worden uw antwoorden geanonimiseerd en opgenomen in het expertreferentiecorpus voor de latere blind evaluatie van het PHOENIX-systeem. Uw gegevens worden op geen enkel moment gekoppeld aan uw naam of identiteit in publieke of wetenschappelijke rapportage.</w:t>
        <w:br/>
        <w:br/>
        <w:t>Door dit document in te dienen bevestigt u vrijwillig in te stemmen met deelname aan deze studie. Uw inzending geldt als geïnformeerde toestemming (informed consent).</w:t>
        <w:br/>
        <w:b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