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6"/>
        </w:rPr>
        <w:t>PHOENIX evaluatiestudie -- Fase 1</w:t>
        <w:br/>
        <w:t>Instrument voor Zorgprofessionals</w:t>
      </w:r>
    </w:p>
    <w:p/>
    <w:p>
      <w:pPr>
        <w:jc w:val="center"/>
      </w:pPr>
      <w:r>
        <w:rPr>
          <w:b/>
          <w:color w:val="1D4ED8"/>
          <w:sz w:val="24"/>
        </w:rPr>
        <w:t>Deelnemerscode: HCP-PRE-05</w:t>
        <w:br/>
        <w:t>Toegewezen casussen: C09 (27-jarige salesvertegenwoordiger)  en  C10 (52-jarige operationeel directeur)</w:t>
      </w:r>
    </w:p>
    <w:p/>
    <w:tbl>
      <w:tblPr>
        <w:tblStyle w:val="TableGrid"/>
        <w:tblW w:type="auto" w:w="0"/>
        <w:tblLook w:firstColumn="1" w:firstRow="1" w:lastColumn="0" w:lastRow="0" w:noHBand="0" w:noVBand="1" w:val="04A0"/>
      </w:tblPr>
      <w:tblGrid>
        <w:gridCol w:w="4703"/>
        <w:gridCol w:w="4703"/>
      </w:tblGrid>
      <w:tr>
        <w:tc>
          <w:tcPr>
            <w:tcW w:type="dxa" w:w="2551"/>
          </w:tcPr>
          <w:p>
            <w:r>
              <w:rPr>
                <w:b/>
                <w:sz w:val="18"/>
              </w:rPr>
              <w:t>Studie</w:t>
            </w:r>
          </w:p>
        </w:tc>
        <w:tc>
          <w:tcPr>
            <w:tcW w:type="dxa" w:w="4703"/>
          </w:tcPr>
          <w:p>
            <w:r>
              <w:rPr>
                <w:sz w:val="18"/>
              </w:rPr>
              <w:t>Evaluatie van de klinische kwaliteit van een ontologiegebaseerd multi-agentsysteem voor gepersonaliseerde digitale geestelijke gezondheidszorg (PHOENIX)</w:t>
            </w:r>
          </w:p>
        </w:tc>
      </w:tr>
      <w:tr>
        <w:tc>
          <w:tcPr>
            <w:tcW w:type="dxa" w:w="2551"/>
          </w:tcPr>
          <w:p>
            <w:r>
              <w:rPr>
                <w:b/>
                <w:sz w:val="18"/>
              </w:rPr>
              <w:t>Instelling</w:t>
            </w:r>
          </w:p>
        </w:tc>
        <w:tc>
          <w:tcPr>
            <w:tcW w:type="dxa" w:w="4703"/>
          </w:tcPr>
          <w:p>
            <w:r>
              <w:rPr>
                <w:sz w:val="18"/>
              </w:rPr>
              <w:t>Universiteit Gent -- Faculteit Psychologie en Pedagogische Wetenschappen</w:t>
            </w:r>
          </w:p>
        </w:tc>
      </w:tr>
      <w:tr>
        <w:tc>
          <w:tcPr>
            <w:tcW w:type="dxa" w:w="2551"/>
          </w:tcPr>
          <w:p>
            <w:r>
              <w:rPr>
                <w:b/>
                <w:sz w:val="18"/>
              </w:rPr>
              <w:t>Onderzoeker</w:t>
            </w:r>
          </w:p>
        </w:tc>
        <w:tc>
          <w:tcPr>
            <w:tcW w:type="dxa" w:w="4703"/>
          </w:tcPr>
          <w:p>
            <w:r>
              <w:rPr>
                <w:sz w:val="18"/>
              </w:rPr>
              <w:t>Stijn Van Severen (masterproefstudent)</w:t>
            </w:r>
          </w:p>
        </w:tc>
      </w:tr>
      <w:tr>
        <w:tc>
          <w:tcPr>
            <w:tcW w:type="dxa" w:w="2551"/>
          </w:tcPr>
          <w:p>
            <w:r>
              <w:rPr>
                <w:b/>
                <w:sz w:val="18"/>
              </w:rPr>
              <w:t>Promotoren</w:t>
            </w:r>
          </w:p>
        </w:tc>
        <w:tc>
          <w:tcPr>
            <w:tcW w:type="dxa" w:w="4703"/>
          </w:tcPr>
          <w:p>
            <w:r>
              <w:rPr>
                <w:sz w:val="18"/>
              </w:rPr>
              <w:t>Prof. Dr. Geert Crombez; Dr. Annick De Paepe</w:t>
            </w:r>
          </w:p>
        </w:tc>
      </w:tr>
      <w:tr>
        <w:tc>
          <w:tcPr>
            <w:tcW w:type="dxa" w:w="2551"/>
          </w:tcPr>
          <w:p>
            <w:r>
              <w:rPr>
                <w:b/>
                <w:sz w:val="18"/>
              </w:rPr>
              <w:t>Contact</w:t>
            </w:r>
          </w:p>
        </w:tc>
        <w:tc>
          <w:tcPr>
            <w:tcW w:type="dxa" w:w="4703"/>
          </w:tcPr>
          <w:p>
            <w:r>
              <w:rPr>
                <w:sz w:val="18"/>
              </w:rPr>
              <w:t>stijn.vanseveren@ugent.be</w:t>
            </w:r>
          </w:p>
        </w:tc>
      </w:tr>
      <w:tr>
        <w:tc>
          <w:tcPr>
            <w:tcW w:type="dxa" w:w="2551"/>
          </w:tcPr>
          <w:p>
            <w:r>
              <w:rPr>
                <w:b/>
                <w:sz w:val="18"/>
              </w:rPr>
              <w:t>Geschatte duur</w:t>
            </w:r>
          </w:p>
        </w:tc>
        <w:tc>
          <w:tcPr>
            <w:tcW w:type="dxa" w:w="4703"/>
          </w:tcPr>
          <w:p>
            <w:r>
              <w:rPr>
                <w:sz w:val="18"/>
              </w:rPr>
              <w:t>Ongeveer 35-45 minuten voor beide casussen samen</w:t>
            </w:r>
          </w:p>
        </w:tc>
      </w:tr>
    </w:tbl>
    <w:p/>
    <w:p>
      <w:pPr>
        <w:shd w:val="clear" w:color="auto" w:fill="DBEAFE"/>
      </w:pPr>
      <w:r>
        <w:rPr>
          <w:sz w:val="20"/>
        </w:rPr>
        <w:t>DOEL VAN DEZE BUNDEL</w:t>
        <w:br/>
        <w:br/>
        <w:t>U neemt deel aan een evaluatiestudie waarin zorgprofessionals onafhankelijk dezelfde vijf klinische redeneerstappen uitvoeren als het PHOENIX-systeem. Uw antwoorden vormen het menselijke referentiecorpus voor een latere dubbelblinde vergelijking met systeemoutput.</w:t>
        <w:br/>
        <w:br/>
        <w:t>Voor elk van uw twee casussen vult u dezelfde vijf delen in: (1) operationalisering, (2) initieel observatiemodel, (3) prioritering van behandeldoelen, (4) verfijning van EMA-metingen en (5) een mobiele coachingsboodschap.</w:t>
        <w:br/>
        <w:br/>
        <w:t>We vragen uw eigen klinische oordeelsvorming. Antwoord zoals u dat in een reele professionele context zou doen, maar werk strikt volgens de instructies op de volgende pagina.</w:t>
      </w:r>
    </w:p>
    <w:p/>
    <w:p>
      <w:pPr>
        <w:shd w:val="clear" w:color="auto" w:fill="FEF3C7"/>
      </w:pPr>
      <w:r>
        <w:rPr>
          <w:sz w:val="20"/>
        </w:rPr>
        <w:t>VERTROUWELIJKHEID EN GEÏNFORMEERDE TOESTEMMING</w:t>
        <w:br/>
        <w:br/>
        <w:t>Uw antwoorden worden voor analyse geanonimiseerd en uitsluitend gebruikt binnen deze masterproefstudie. Na ontvangst worden ze opgenomen in het expertreferentiecorpus voor de latere blind evaluatie van het PHOENIX-systeem.</w:t>
        <w:br/>
        <w:br/>
        <w:t>Deelname is volledig vrijwillig. U kan zich op elk moment zonder opgave van reden terugtrekken door contact op te nemen met de onderzoeker via stijn.vanseveren@ugent.be. Terugtrekking heeft geen gevolgen.</w:t>
        <w:br/>
        <w:br/>
        <w:t>Door dit ingevulde document te bezorgen aan de onderzoeker, bevestigt u dat:</w:t>
        <w:br/>
        <w:t xml:space="preserve">  (1) u de bovenstaande informatie hebt gelezen en begrepen;</w:t>
        <w:br/>
        <w:t xml:space="preserve">  (2) u vrijwillig instemt met deelname aan deze studie;</w:t>
        <w:br/>
        <w:t xml:space="preserve">  (3) u begrijpt dat uw antwoorden geanonimiseerd worden verwerkt.</w:t>
        <w:br/>
        <w:b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shd w:val="clear" w:color="auto" w:fill="FFF7ED"/>
      </w:pPr>
      <w:r>
        <w:rPr>
          <w:sz w:val="20"/>
        </w:rPr>
        <w:t>WERKWIJZE -- STRIKT TE VOLGEN:</w:t>
        <w:br/>
        <w:t>1. Werk sequentieel: Deel 1 -&gt; Deel 5. Ga pas naar een volgend deel wanneer het huidige volledig is afgewerkt voor beide casussen.</w:t>
        <w:br/>
        <w:t>2. Gebruik geen generatieve AI, schrijfhulpmiddelen, richtlijnen of collegaoverleg. Extern gebruik ondermijnt de methodologische validiteit en de blind scoringswaarde van de studie.</w:t>
        <w:br/>
        <w:t>3. Gebruik in latere delen uitsluitend de meegeleverde gestandaardiseerde context. Die is bewust vastgezet zodat alle deelnemers op identieke input reageren.</w:t>
        <w:br/>
        <w:t>4. Herwerk eerdere antwoorden NIET retroactief nadat u latere context hebt gezien.</w:t>
        <w:br/>
        <w:t>5. Noteer of typ rechtstreeks in de voorziene antwoordzones. Onleesbare of ambigu geformuleerde antwoorden bemoeilijken latere blind beoordeling.</w:t>
      </w:r>
    </w:p>
    <w:p/>
    <w:p>
      <w:pPr>
        <w:shd w:val="clear" w:color="auto" w:fill="ECFDF5"/>
      </w:pPr>
      <w:r>
        <w:rPr>
          <w:sz w:val="20"/>
        </w:rPr>
        <w:t>EMA-PRINCIPES (relevant voor Deel 2 en Deel 4):</w:t>
        <w:br/>
        <w:t>Ecological Momentary Assessment (EMA) meet dagelijkse schommelingen via een mobiele app. Elke EMA-variabele moet aan vier vereisten voldoen:</w:t>
        <w:br/>
        <w:t xml:space="preserve">  (1) Dagelijks rapporteerbaar via een korte smartphone-vraag.</w:t>
        <w:br/>
        <w:t xml:space="preserve">  (2) Dynamisch en veranderbaar -- geen vaste diagnose, trait of achtergrondkenmerk.</w:t>
        <w:br/>
        <w:t xml:space="preserve">  (3) Meetbaar in een eenvoudig format: ja/nee, aantal, minuten of een 0-10 score.</w:t>
        <w:br/>
        <w:t xml:space="preserve">  (4) Klinisch relevant voor opvolging -- toont binnen-persoonsvariatie die therapeutisch informatief is.</w:t>
        <w:br/>
        <w:b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C09: 27-jarige salesvertegenwoordiger</w:t>
      </w:r>
    </w:p>
    <w:p>
      <w:pPr>
        <w:shd w:val="clear" w:color="auto" w:fill="EFF6FF"/>
      </w:pPr>
      <w:r>
        <w:rPr>
          <w:sz w:val="20"/>
        </w:rPr>
        <w:t>CASUSVIGNET  |  Duur: 3 jaar</w:t>
        <w:br/>
        <w:b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C10: 52-jarige operationeel directeur</w:t>
      </w:r>
    </w:p>
    <w:p>
      <w:pPr>
        <w:shd w:val="clear" w:color="auto" w:fill="EFF6FF"/>
      </w:pPr>
      <w:r>
        <w:rPr>
          <w:sz w:val="20"/>
        </w:rPr>
        <w:t>CASUSVIGNET  |  Duur: ongeveer 9 maanden</w:t>
        <w:br/>
        <w:b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C09: Deel 2</w:t>
      </w:r>
    </w:p>
    <w:p>
      <w:pPr>
        <w:shd w:val="clear" w:color="auto" w:fill="EFF6FF"/>
      </w:pPr>
      <w:r>
        <w:rPr>
          <w:sz w:val="20"/>
        </w:rPr>
        <w:t>Casus C09: verkorte klachtomschrijving</w:t>
        <w:b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C10: Deel 2</w:t>
      </w:r>
    </w:p>
    <w:p>
      <w:pPr>
        <w:shd w:val="clear" w:color="auto" w:fill="EFF6FF"/>
      </w:pPr>
      <w:r>
        <w:rPr>
          <w:sz w:val="20"/>
        </w:rPr>
        <w:t>Casus C10: verkorte klachtomschrijving</w:t>
        <w:b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C09: Deel 3</w:t>
      </w:r>
    </w:p>
    <w:p>
      <w:pPr>
        <w:shd w:val="clear" w:color="auto" w:fill="EFF6FF"/>
      </w:pPr>
      <w:r>
        <w:rPr>
          <w:sz w:val="20"/>
        </w:rPr>
        <w:t>Casus C09: 27-jarige salesvertegenwoordiger</w:t>
        <w:b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r>
        <w:rPr>
          <w:b/>
          <w:sz w:val="20"/>
        </w:rPr>
        <w:t>Bipartiet netwerk (zie PDF voor visuele weergave):</w:t>
      </w:r>
    </w:p>
    <w:p>
      <w:r>
        <w:rPr>
          <w:b/>
          <w:color w:val="B91C1C"/>
          <w:sz w:val="18"/>
        </w:rPr>
        <w:t xml:space="preserve">  Sterke relaties (rood):  </w:t>
      </w:r>
      <w:r>
        <w:rPr>
          <w:sz w:val="18"/>
        </w:rPr>
        <w:t>CR-1 (Snelle stemmingsschommelingen) &lt;-&gt; P1 (Emotieregulatievaardigheid),  CR-2 (Afwijzingsreactiviteit) &lt;-&gt; P1 (Emotieregulatievaardigheid),  CR-2 (Afwijzingsreactiviteit) &lt;-&gt; P2 (Afwijzingsherwaardering),  CR-4 (Relationele instabiliteit) &lt;-&gt; P2 (Afwijzingsherwaardering),  CR-3 (Impulsief gedrag) &lt;-&gt; P3 (Impulsuitstel),  CR-4 (Relationele instabiliteit) &lt;-&gt; P4 (Interpersoonlijke communicatie)</w:t>
      </w:r>
    </w:p>
    <w:p>
      <w:r>
        <w:rPr>
          <w:b/>
          <w:color w:val="1D4ED8"/>
          <w:sz w:val="18"/>
        </w:rPr>
        <w:t xml:space="preserve">  Matige relaties (blauw):  </w:t>
      </w:r>
      <w:r>
        <w:rPr>
          <w:sz w:val="18"/>
        </w:rPr>
        <w:t>CR-2 (Afwijzingsreactiviteit) &lt;-&gt; P4 (Interpersoonlijke communicatie),  CR-1 (Snelle stemmingsschommelingen) &lt;-&gt; P5 (Gedifferentieerde stemmingsmonitoring)</w:t>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C10: Deel 3</w:t>
      </w:r>
    </w:p>
    <w:p>
      <w:pPr>
        <w:shd w:val="clear" w:color="auto" w:fill="EFF6FF"/>
      </w:pPr>
      <w:r>
        <w:rPr>
          <w:sz w:val="20"/>
        </w:rPr>
        <w:t>Casus C10: 52-jarige operationeel directeur</w:t>
        <w:b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r>
        <w:rPr>
          <w:b/>
          <w:sz w:val="20"/>
        </w:rPr>
        <w:t>Bipartiet netwerk (zie PDF voor visuele weergave):</w:t>
      </w:r>
    </w:p>
    <w:p>
      <w:r>
        <w:rPr>
          <w:b/>
          <w:color w:val="B91C1C"/>
          <w:sz w:val="18"/>
        </w:rPr>
        <w:t xml:space="preserve">  Sterke relaties (rood):  </w:t>
      </w:r>
      <w:r>
        <w:rPr>
          <w:sz w:val="18"/>
        </w:rPr>
        <w:t>CR-2 (Doorslaapinsomnie) &lt;-&gt; P1 (Werkontkoppeling voor slaap),  CR-1 (Chronische werkstress) &lt;-&gt; P1 (Werkontkoppeling voor slaap),  CR-4 (Alcohol als copingstrategie) &lt;-&gt; P2 (Avondlijk alcoholgebruik),  CR-2 (Doorslaapinsomnie) &lt;-&gt; P2 (Avondlijk alcoholgebruik),  CR-3 (Somatische stressklachten) &lt;-&gt; P3 (Stressregulatie overdag),  CR-2 (Doorslaapinsomnie) &lt;-&gt; P5 (Nachtelijke cognitieve arousal)</w:t>
      </w:r>
    </w:p>
    <w:p>
      <w:r>
        <w:rPr>
          <w:b/>
          <w:color w:val="1D4ED8"/>
          <w:sz w:val="18"/>
        </w:rPr>
        <w:t xml:space="preserve">  Matige relaties (blauw):  </w:t>
      </w:r>
      <w:r>
        <w:rPr>
          <w:sz w:val="18"/>
        </w:rPr>
        <w:t>CR-1 (Chronische werkstress) &lt;-&gt; P3 (Stressregulatie overdag),  CR-1 (Chronische werkstress) &lt;-&gt; P4 (Aerobe beweging),  CR-3 (Somatische stressklachten) &lt;-&gt; P4 (Aerobe beweging)</w:t>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C09: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14.00 uur (aantal)</w:t>
      </w:r>
    </w:p>
    <w:p>
      <w:pPr>
        <w:pStyle w:val="ListParagraph"/>
        <w:ind w:left="283"/>
      </w:pPr>
      <w:r>
        <w:rPr>
          <w:sz w:val="20"/>
        </w:rPr>
        <w:t xml:space="preserve"> 2.  □  Slaapduur afgelopen nacht (uren)</w:t>
      </w:r>
    </w:p>
    <w:p>
      <w:pPr>
        <w:pStyle w:val="ListParagraph"/>
        <w:ind w:left="283"/>
      </w:pPr>
      <w:r>
        <w:rPr>
          <w:sz w:val="20"/>
        </w:rPr>
        <w:t xml:space="preserve"> 3.  □  Emotieregulatievaardigheid toegepast (ja/nee)</w:t>
      </w:r>
    </w:p>
    <w:p>
      <w:pPr>
        <w:pStyle w:val="ListParagraph"/>
        <w:ind w:left="283"/>
      </w:pPr>
      <w:r>
        <w:rPr>
          <w:sz w:val="20"/>
        </w:rPr>
        <w:t xml:space="preserve"> 4.  □  Aantal conflicten op het werk (aantal)</w:t>
      </w:r>
    </w:p>
    <w:p>
      <w:pPr>
        <w:pStyle w:val="ListParagraph"/>
        <w:ind w:left="283"/>
      </w:pPr>
      <w:r>
        <w:rPr>
          <w:sz w:val="20"/>
        </w:rPr>
        <w:t xml:space="preserve"> 5.  □  Tijd op sociale media (min)</w:t>
      </w:r>
    </w:p>
    <w:p>
      <w:pPr>
        <w:pStyle w:val="ListParagraph"/>
        <w:ind w:left="283"/>
      </w:pPr>
      <w:r>
        <w:rPr>
          <w:sz w:val="20"/>
        </w:rPr>
        <w:t xml:space="preserve"> 6.  □  Impulshandeling uitgesteld (ja/nee)</w:t>
      </w:r>
    </w:p>
    <w:p>
      <w:pPr>
        <w:pStyle w:val="ListParagraph"/>
        <w:ind w:left="283"/>
      </w:pPr>
      <w:r>
        <w:rPr>
          <w:sz w:val="20"/>
        </w:rPr>
        <w:t xml:space="preserve"> 7.  □  Eetlust bij avondmaal (0--10)</w:t>
      </w:r>
    </w:p>
    <w:p>
      <w:pPr>
        <w:pStyle w:val="ListParagraph"/>
        <w:ind w:left="283"/>
      </w:pPr>
      <w:r>
        <w:rPr>
          <w:sz w:val="20"/>
        </w:rPr>
        <w:t xml:space="preserve"> 8.  □  Ochtendenergie bij ontwaken (0--10)</w:t>
      </w:r>
    </w:p>
    <w:p>
      <w:pPr>
        <w:pStyle w:val="ListParagraph"/>
        <w:ind w:left="283"/>
      </w:pPr>
      <w:r>
        <w:rPr>
          <w:sz w:val="20"/>
        </w:rPr>
        <w:t xml:space="preserve"> 9.  □  Afwijzingsherwaardering geprobeerd (ja/nee)</w:t>
      </w:r>
    </w:p>
    <w:p>
      <w:pPr>
        <w:pStyle w:val="ListParagraph"/>
        <w:ind w:left="283"/>
      </w:pPr>
      <w:r>
        <w:rPr>
          <w:sz w:val="20"/>
        </w:rPr>
        <w:t>10.  □  Alcoholinname vandaag (aantal)</w:t>
      </w:r>
    </w:p>
    <w:p>
      <w:pPr>
        <w:pStyle w:val="ListParagraph"/>
        <w:ind w:left="283"/>
      </w:pPr>
      <w:r>
        <w:rPr>
          <w:sz w:val="20"/>
        </w:rPr>
        <w:t>11.  □  Lichamelijke activiteit vandaag (min)</w:t>
      </w:r>
    </w:p>
    <w:p>
      <w:pPr>
        <w:pStyle w:val="ListParagraph"/>
        <w:ind w:left="283"/>
      </w:pPr>
      <w:r>
        <w:rPr>
          <w:sz w:val="20"/>
        </w:rPr>
        <w:t>12.  □  Stemmingsbereik vandaag (0--10)</w:t>
      </w:r>
    </w:p>
    <w:p>
      <w:pPr>
        <w:pStyle w:val="ListParagraph"/>
        <w:ind w:left="283"/>
      </w:pPr>
      <w:r>
        <w:rPr>
          <w:sz w:val="20"/>
        </w:rPr>
        <w:t>13.  □  Aantal onafgewerkte taken (aantal)</w:t>
      </w:r>
    </w:p>
    <w:p>
      <w:pPr>
        <w:pStyle w:val="ListParagraph"/>
        <w:ind w:left="283"/>
      </w:pPr>
      <w:r>
        <w:rPr>
          <w:sz w:val="20"/>
        </w:rPr>
        <w:t>14.  □  Concentratie tijdens administratie (0--10)</w:t>
      </w:r>
    </w:p>
    <w:p>
      <w:pPr>
        <w:pStyle w:val="ListParagraph"/>
        <w:ind w:left="283"/>
      </w:pPr>
      <w:r>
        <w:rPr>
          <w:sz w:val="20"/>
        </w:rPr>
        <w:t>15.  □  Middagdutje genomen (ja/nee)</w:t>
      </w:r>
    </w:p>
    <w:p>
      <w:pPr>
        <w:pStyle w:val="ListParagraph"/>
        <w:ind w:left="283"/>
      </w:pPr>
      <w:r>
        <w:rPr>
          <w:sz w:val="20"/>
        </w:rPr>
        <w:t>16.  □  Schermtijd na 22.00 uur (min)</w:t>
      </w:r>
    </w:p>
    <w:p>
      <w:pPr>
        <w:pStyle w:val="ListParagraph"/>
        <w:ind w:left="283"/>
      </w:pPr>
      <w:r>
        <w:rPr>
          <w:sz w:val="20"/>
        </w:rPr>
        <w:t>17.  □  Interpersoonlijk communicatiegesprek geoefend (ja/nee)</w:t>
      </w:r>
    </w:p>
    <w:p>
      <w:pPr>
        <w:pStyle w:val="ListParagraph"/>
        <w:ind w:left="283"/>
      </w:pPr>
      <w:r>
        <w:rPr>
          <w:sz w:val="20"/>
        </w:rPr>
        <w:t>18.  □  Cafeine-inname voor een afspraak (aantal)</w:t>
      </w:r>
    </w:p>
    <w:p>
      <w:pPr>
        <w:pStyle w:val="ListParagraph"/>
        <w:ind w:left="283"/>
      </w:pPr>
      <w:r>
        <w:rPr>
          <w:sz w:val="20"/>
        </w:rPr>
        <w:t>19.  □  Tijd buitenshuis alleen (min)</w:t>
      </w:r>
    </w:p>
    <w:p>
      <w:pPr>
        <w:pStyle w:val="ListParagraph"/>
        <w:ind w:left="283"/>
      </w:pPr>
      <w:r>
        <w:rPr>
          <w:sz w:val="20"/>
        </w:rPr>
        <w:t>20.  □  Nekspanning in de namiddag (0--10)</w:t>
      </w:r>
    </w:p>
    <w:p/>
    <w:p>
      <w:r>
        <w:rPr>
          <w:b/>
          <w:sz w:val="20"/>
        </w:rPr>
        <w:t>Totaal geselecteerd: _____ / 5</w:t>
      </w:r>
    </w:p>
    <w:p>
      <w:r>
        <w:br w:type="page"/>
      </w:r>
    </w:p>
    <w:p>
      <w:pPr>
        <w:pStyle w:val="Heading2"/>
        <w:jc w:val="left"/>
      </w:pPr>
      <w:r>
        <w:t>Casus C10: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5 EMA-items die het best passen als volgende subpredictoren. Vink de 5 geselecteerde items aan.</w:t>
      </w:r>
    </w:p>
    <w:p/>
    <w:p>
      <w:pPr>
        <w:pStyle w:val="ListParagraph"/>
        <w:ind w:left="283"/>
      </w:pPr>
      <w:r>
        <w:rPr>
          <w:sz w:val="20"/>
        </w:rPr>
        <w:t xml:space="preserve"> 1.  □  Ochtendlichtblootstelling (min)</w:t>
      </w:r>
    </w:p>
    <w:p>
      <w:pPr>
        <w:pStyle w:val="ListParagraph"/>
        <w:ind w:left="283"/>
      </w:pPr>
      <w:r>
        <w:rPr>
          <w:sz w:val="20"/>
        </w:rPr>
        <w:t xml:space="preserve"> 2.  □  Preslaap werkontkoppelingsritueel gevolgd (ja/nee)</w:t>
      </w:r>
    </w:p>
    <w:p>
      <w:pPr>
        <w:pStyle w:val="ListParagraph"/>
        <w:ind w:left="283"/>
      </w:pPr>
      <w:r>
        <w:rPr>
          <w:sz w:val="20"/>
        </w:rPr>
        <w:t xml:space="preserve"> 3.  □  Middagdutje genomen (ja/nee)</w:t>
      </w:r>
    </w:p>
    <w:p>
      <w:pPr>
        <w:pStyle w:val="ListParagraph"/>
        <w:ind w:left="283"/>
      </w:pPr>
      <w:r>
        <w:rPr>
          <w:sz w:val="20"/>
        </w:rPr>
        <w:t xml:space="preserve"> 4.  □  Aantal sociale afspraken na het werk (aantal)</w:t>
      </w:r>
    </w:p>
    <w:p>
      <w:pPr>
        <w:pStyle w:val="ListParagraph"/>
        <w:ind w:left="283"/>
      </w:pPr>
      <w:r>
        <w:rPr>
          <w:sz w:val="20"/>
        </w:rPr>
        <w:t xml:space="preserve"> 5.  □  Alcoholeenheden vanavond (aantal)</w:t>
      </w:r>
    </w:p>
    <w:p>
      <w:pPr>
        <w:pStyle w:val="ListParagraph"/>
        <w:ind w:left="283"/>
      </w:pPr>
      <w:r>
        <w:rPr>
          <w:sz w:val="20"/>
        </w:rPr>
        <w:t xml:space="preserve"> 6.  □  Eetlust bij avondmaal (0--10)</w:t>
      </w:r>
    </w:p>
    <w:p>
      <w:pPr>
        <w:pStyle w:val="ListParagraph"/>
        <w:ind w:left="283"/>
      </w:pPr>
      <w:r>
        <w:rPr>
          <w:sz w:val="20"/>
        </w:rPr>
        <w:t xml:space="preserve"> 7.  □  Hoofdpijnintensiteit in de namiddag (0--10)</w:t>
      </w:r>
    </w:p>
    <w:p>
      <w:pPr>
        <w:pStyle w:val="ListParagraph"/>
        <w:ind w:left="283"/>
      </w:pPr>
      <w:r>
        <w:rPr>
          <w:sz w:val="20"/>
        </w:rPr>
        <w:t xml:space="preserve"> 8.  □  Stressregulatiegedrag overdag toegepast (ja/nee)</w:t>
      </w:r>
    </w:p>
    <w:p>
      <w:pPr>
        <w:pStyle w:val="ListParagraph"/>
        <w:ind w:left="283"/>
      </w:pPr>
      <w:r>
        <w:rPr>
          <w:sz w:val="20"/>
        </w:rPr>
        <w:t xml:space="preserve"> 9.  □  Schermtijd voor ontspanning na 21.00 uur (min)</w:t>
      </w:r>
    </w:p>
    <w:p>
      <w:pPr>
        <w:pStyle w:val="ListParagraph"/>
        <w:ind w:left="283"/>
      </w:pPr>
      <w:r>
        <w:rPr>
          <w:sz w:val="20"/>
        </w:rPr>
        <w:t>10.  □  Lichamelijke spierspanning in de ochtend (0--10)</w:t>
      </w:r>
    </w:p>
    <w:p>
      <w:pPr>
        <w:pStyle w:val="ListParagraph"/>
        <w:ind w:left="283"/>
      </w:pPr>
      <w:r>
        <w:rPr>
          <w:sz w:val="20"/>
        </w:rPr>
        <w:t>11.  □  Waterinname vandaag (glazen)</w:t>
      </w:r>
    </w:p>
    <w:p>
      <w:pPr>
        <w:pStyle w:val="ListParagraph"/>
        <w:ind w:left="283"/>
      </w:pPr>
      <w:r>
        <w:rPr>
          <w:sz w:val="20"/>
        </w:rPr>
        <w:t>12.  □  Werkgerelateerde gedachten na 20.00 uur (min)</w:t>
      </w:r>
    </w:p>
    <w:p>
      <w:pPr>
        <w:pStyle w:val="ListParagraph"/>
        <w:ind w:left="283"/>
      </w:pPr>
      <w:r>
        <w:rPr>
          <w:sz w:val="20"/>
        </w:rPr>
        <w:t>13.  □  Aantal vergaderuren vandaag (uren)</w:t>
      </w:r>
    </w:p>
    <w:p>
      <w:pPr>
        <w:pStyle w:val="ListParagraph"/>
        <w:ind w:left="283"/>
      </w:pPr>
      <w:r>
        <w:rPr>
          <w:sz w:val="20"/>
        </w:rPr>
        <w:t>14.  □  Slaapduur afgelopen nacht (uren)</w:t>
      </w:r>
    </w:p>
    <w:p>
      <w:pPr>
        <w:pStyle w:val="ListParagraph"/>
        <w:ind w:left="283"/>
      </w:pPr>
      <w:r>
        <w:rPr>
          <w:sz w:val="20"/>
        </w:rPr>
        <w:t>15.  □  TV-kijktijd in de avond (min)</w:t>
      </w:r>
    </w:p>
    <w:p>
      <w:pPr>
        <w:pStyle w:val="ListParagraph"/>
        <w:ind w:left="283"/>
      </w:pPr>
      <w:r>
        <w:rPr>
          <w:sz w:val="20"/>
        </w:rPr>
        <w:t>16.  □  Ochtendstemming bij ontwaken (0--10)</w:t>
      </w:r>
    </w:p>
    <w:p>
      <w:pPr>
        <w:pStyle w:val="ListParagraph"/>
        <w:ind w:left="283"/>
      </w:pPr>
      <w:r>
        <w:rPr>
          <w:sz w:val="20"/>
        </w:rPr>
        <w:t>17.  □  Aerobe beweging vandaag (min)</w:t>
      </w:r>
    </w:p>
    <w:p>
      <w:pPr>
        <w:pStyle w:val="ListParagraph"/>
        <w:ind w:left="283"/>
      </w:pPr>
      <w:r>
        <w:rPr>
          <w:sz w:val="20"/>
        </w:rPr>
        <w:t>18.  □  Cafeine-inname na 16.00 uur (aantal)</w:t>
      </w:r>
    </w:p>
    <w:p>
      <w:pPr>
        <w:pStyle w:val="ListParagraph"/>
        <w:ind w:left="283"/>
      </w:pPr>
      <w:r>
        <w:rPr>
          <w:sz w:val="20"/>
        </w:rPr>
        <w:t>19.  □  Contact met gezin vandaag (ja/nee)</w:t>
      </w:r>
    </w:p>
    <w:p>
      <w:pPr>
        <w:pStyle w:val="ListParagraph"/>
        <w:ind w:left="283"/>
      </w:pPr>
      <w:r>
        <w:rPr>
          <w:sz w:val="20"/>
        </w:rPr>
        <w:t>20.  □  Aantal maaltijden overgeslagen (aantal)</w:t>
      </w:r>
    </w:p>
    <w:p/>
    <w:p>
      <w:r>
        <w:rPr>
          <w:b/>
          <w:sz w:val="20"/>
        </w:rPr>
        <w:t>Totaal geselecteerd: _____ / 5</w:t>
      </w:r>
    </w:p>
    <w:p>
      <w:r>
        <w:br w:type="page"/>
      </w:r>
    </w:p>
    <w:p>
      <w:pPr>
        <w:pStyle w:val="Heading1"/>
        <w:jc w:val="left"/>
      </w:pPr>
      <w:r>
        <w:t>6  Deel 5: Mobiele coachingsboodschap</w:t>
      </w:r>
    </w:p>
    <w:p>
      <w:pPr>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br/>
        <w:br/>
        <w:t>Werkvoorbeeld (niet gerelateerd aan een studiecasus):</w:t>
        <w:b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C09: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C10: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(C09 en C10).</w:t>
      </w:r>
    </w:p>
    <w:p/>
    <w:p>
      <w:r>
        <w:rPr>
          <w:b/>
          <w:sz w:val="20"/>
        </w:rPr>
        <w:t>Checklist voor terugbezorging -- gelieve alle vakjes af te vinken:</w:t>
      </w:r>
    </w:p>
    <w:p>
      <w:pPr>
        <w:spacing w:after="60"/>
        <w:ind w:left="170"/>
      </w:pPr>
      <w:r>
        <w:rPr>
          <w:sz w:val="20"/>
        </w:rPr>
        <w:t>□   Ik heb in Deel 1 voor beide casussen (C09 en C10)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PHOENIX-PRE-HCP-PRE-05</w:t>
      </w:r>
    </w:p>
    <w:p/>
    <w:p>
      <w:pPr>
        <w:shd w:val="clear" w:color="auto" w:fill="DBEAFE"/>
      </w:pPr>
      <w:r>
        <w:rPr>
          <w:sz w:val="20"/>
        </w:rPr>
        <w:t>VERTROUWELIJKHEID EN VERWERKING</w:t>
        <w:br/>
        <w:br/>
        <w:t>Na ontvangst worden uw antwoorden geanonimiseerd en opgenomen in het expertreferentiecorpus voor de latere blind evaluatie van het PHOENIX-systeem. Uw gegevens worden op geen enkel moment gekoppeld aan uw naam of identiteit in publieke of wetenschappelijke rapportage.</w:t>
        <w:br/>
        <w:br/>
        <w:t>Door dit document in te dienen bevestigt u vrijwillig in te stemmen met deelname aan deze studie. Uw inzending geldt als geïnformeerde toestemming (informed consent).</w:t>
        <w:br/>
        <w:b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