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HCP-PRE-03</w:t>
      </w:r>
      <w:r>
        <w:br/>
      </w:r>
      <w:r>
        <w:rPr>
          <w:sz w:val="20"/>
        </w:rPr>
      </w:r>
      <w:r>
        <w:br/>
      </w:r>
      <w:r>
        <w:rPr>
          <w:sz w:val="20"/>
        </w:rPr>
        <w:t>Toegewezen casussen:</w:t>
      </w:r>
      <w:r>
        <w:br/>
      </w:r>
      <w:r>
        <w:rPr>
          <w:sz w:val="20"/>
        </w:rPr>
        <w:t>Casus 1  (25-jarige postgraduaatsstudent)</w:t>
      </w:r>
      <w:r>
        <w:br/>
      </w:r>
      <w:r>
        <w:rPr>
          <w:sz w:val="20"/>
        </w:rPr>
        <w:t>en</w:t>
      </w:r>
      <w:r>
        <w:br/>
      </w:r>
      <w:r>
        <w:rPr>
          <w:sz w:val="20"/>
        </w:rPr>
        <w:t>Casus 2  (32-jarige marketingprofessional)</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6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25-jarige postgraduaatsstudent</w:t>
      </w:r>
    </w:p>
    <w:p>
      <w:pPr>
        <w:jc w:val="left"/>
        <w:shd w:val="clear" w:color="auto" w:fill="EFF6FF"/>
      </w:pPr>
      <w:r>
        <w:rPr>
          <w:sz w:val="20"/>
        </w:rPr>
        <w:t>CASUSVIGNET  |  Duur: ongeveer 20 maanden</w:t>
      </w:r>
      <w:r>
        <w:br/>
      </w:r>
      <w:r>
        <w:rPr>
          <w:sz w:val="20"/>
        </w:rPr>
      </w:r>
      <w:r>
        <w:br/>
      </w:r>
      <w:r>
        <w:rPr>
          <w:sz w:val="20"/>
        </w:rPr>
        <w:t>``Ik krijg gedachten dat ik per ongeluk iemand zou kunnen verwonden, ook al wil ik dat helemaal niet en weet ik dat die gedachten irrationeel zijn. Ze komen plots op en voelen dan heel echt en beangstigend aan. Daarna ben ik uren bezig met in mijn hoofd na te gaan of ik niets fout heb gedaan. Ik ben ook situaties beginnen vermijden waarin ik iets scherp zou kunnen vasthouden, wat mijn dagelijks leven en sociale contacten beinvloedt. Dat mentale controleren neemt uren in beslag en begint mijn studies en relaties serieus te verstoren.''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32-jarige marketingprofessional</w:t>
      </w:r>
    </w:p>
    <w:p>
      <w:pPr>
        <w:jc w:val="left"/>
        <w:shd w:val="clear" w:color="auto" w:fill="EFF6FF"/>
      </w:pPr>
      <w:r>
        <w:rPr>
          <w:sz w:val="20"/>
        </w:rPr>
        <w:t>CASUSVIGNET  |  Duur: persisterend sinds het begin van de loopbaan (meer dan 3 jaar)</w:t>
      </w:r>
      <w:r>
        <w:br/>
      </w:r>
      <w:r>
        <w:rPr>
          <w:sz w:val="20"/>
        </w:rPr>
      </w:r>
      <w:r>
        <w:br/>
      </w:r>
      <w:r>
        <w:rPr>
          <w:sz w:val="20"/>
        </w:rPr>
        <w:t>``Ik ervaar heel veel angst in professionele situaties. Wanneer ik moet presenteren, in een vergadering iets moet zeggen of feedback krijg van mijn leidinggevende, word ik zo zelfbewust dat mijn hoofd leegloopt. Vooraf spendeer ik uren aan voorbereiden, maar in het moment zelf blokkeer ik toch. Achteraf blijf ik lang analyseren wat ik precies heb gezegd en hoe ik overkwam. Ik heb al meerdere promoties en interessante projecten afgeslagen omdat ik bang was voor de extra zichtbaarheid. Ik besef dat mijn angst voor de beoordeling door anderen buiten proportie is, maar ik krijg ze niet stil.''</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25-jarige postgraduaatsstudent -- Deel 2</w:t>
      </w:r>
    </w:p>
    <w:p>
      <w:pPr>
        <w:jc w:val="left"/>
        <w:shd w:val="clear" w:color="auto" w:fill="EFF6FF"/>
      </w:pPr>
      <w:r>
        <w:rPr>
          <w:sz w:val="20"/>
        </w:rPr>
        <w:t>Casus 1: verkorte klachtomschrijving</w:t>
      </w:r>
      <w:r>
        <w:br/>
      </w:r>
      <w:r>
        <w:rPr>
          <w:sz w:val="20"/>
        </w:rPr>
        <w:t>25-jarige postgraduaatsstudent; duur: ongeveer 20 maanden. Intrusieve schadeobsessies, compulsieve mentale controle, vermijding van schaderisico en uitgesproken tijdsbelasting door OCD-klachten.</w:t>
      </w:r>
    </w:p>
    <w:p/>
    <w:p>
      <w:r>
        <w:rPr>
          <w:b/>
          <w:sz w:val="20"/>
        </w:rPr>
        <w:t>Gestandaardiseerde criteria uit stap 1:</w:t>
      </w:r>
    </w:p>
    <w:p>
      <w:pPr>
        <w:pStyle w:val="ListBullet"/>
      </w:pPr>
      <w:r>
        <w:rPr>
          <w:sz w:val="20"/>
        </w:rPr>
        <w:t xml:space="preserve">  CR-1  Intrusieve schadeobsessies</w:t>
      </w:r>
    </w:p>
    <w:p>
      <w:pPr>
        <w:pStyle w:val="ListBullet"/>
      </w:pPr>
      <w:r>
        <w:rPr>
          <w:sz w:val="20"/>
        </w:rPr>
        <w:t xml:space="preserve">  CR-2  Compulsieve mentale controle</w:t>
      </w:r>
    </w:p>
    <w:p>
      <w:pPr>
        <w:pStyle w:val="ListBullet"/>
      </w:pPr>
      <w:r>
        <w:rPr>
          <w:sz w:val="20"/>
        </w:rPr>
        <w:t xml:space="preserve">  CR-3  Vermijding van schaderisico</w:t>
      </w:r>
    </w:p>
    <w:p>
      <w:pPr>
        <w:pStyle w:val="ListBullet"/>
      </w:pPr>
      <w:r>
        <w:rPr>
          <w:sz w:val="20"/>
        </w:rPr>
        <w:t xml:space="preserve">  CR-4  Tijdsbelasting door OCD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32-jarige marketingprofessional -- Deel 2</w:t>
      </w:r>
    </w:p>
    <w:p>
      <w:pPr>
        <w:jc w:val="left"/>
        <w:shd w:val="clear" w:color="auto" w:fill="EFF6FF"/>
      </w:pPr>
      <w:r>
        <w:rPr>
          <w:sz w:val="20"/>
        </w:rPr>
        <w:t>Casus 2: verkorte klachtomschrijving</w:t>
      </w:r>
      <w:r>
        <w:br/>
      </w:r>
      <w:r>
        <w:rPr>
          <w:sz w:val="20"/>
        </w:rPr>
        <w:t>32-jarige marketingprofessional; duur: persisterend sinds het begin van de loopbaan (meer dan 3 jaar). Prestatieangst op het werk, post-event ruminatie, excessieve voorbereiding en vermijding van zichtbaarheid.</w:t>
      </w:r>
    </w:p>
    <w:p/>
    <w:p>
      <w:r>
        <w:rPr>
          <w:b/>
          <w:sz w:val="20"/>
        </w:rPr>
        <w:t>Gestandaardiseerde criteria uit stap 1:</w:t>
      </w:r>
    </w:p>
    <w:p>
      <w:pPr>
        <w:pStyle w:val="ListBullet"/>
      </w:pPr>
      <w:r>
        <w:rPr>
          <w:sz w:val="20"/>
        </w:rPr>
        <w:t xml:space="preserve">  CR-1  Prestatieangst op het werk</w:t>
      </w:r>
    </w:p>
    <w:p>
      <w:pPr>
        <w:pStyle w:val="ListBullet"/>
      </w:pPr>
      <w:r>
        <w:rPr>
          <w:sz w:val="20"/>
        </w:rPr>
        <w:t xml:space="preserve">  CR-2  Post-event ruminatie</w:t>
      </w:r>
    </w:p>
    <w:p>
      <w:pPr>
        <w:pStyle w:val="ListBullet"/>
      </w:pPr>
      <w:r>
        <w:rPr>
          <w:sz w:val="20"/>
        </w:rPr>
        <w:t xml:space="preserve">  CR-3  Excessieve voorbereiding</w:t>
      </w:r>
    </w:p>
    <w:p>
      <w:pPr>
        <w:pStyle w:val="ListBullet"/>
      </w:pPr>
      <w:r>
        <w:rPr>
          <w:sz w:val="20"/>
        </w:rPr>
        <w:t xml:space="preserve">  CR-4  Vermijding van zichtbaarheid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(blauw = positief verband, rood = negatief verband; lijndikte ∝ |w|, genormaliseerd binnen elk netwerk).</w:t>
      </w:r>
    </w:p>
    <w:p>
      <w:r>
        <w:br w:type="page"/>
      </w:r>
    </w:p>
    <w:p>
      <w:pPr>
        <w:pStyle w:val="Heading2"/>
        <w:jc w:val="left"/>
      </w:pPr>
      <w:r>
        <w:t>Casus 1: 25-jarige postgraduaatsstudent -- Deel 3</w:t>
      </w:r>
    </w:p>
    <w:p>
      <w:pPr>
        <w:jc w:val="left"/>
        <w:shd w:val="clear" w:color="auto" w:fill="EFF6FF"/>
      </w:pPr>
      <w:r>
        <w:rPr>
          <w:sz w:val="20"/>
        </w:rPr>
        <w:t>Casus 1: 25-jarige postgraduaatsstudent</w:t>
      </w:r>
      <w:r>
        <w:br/>
      </w:r>
      <w:r>
        <w:rPr>
          <w:sz w:val="20"/>
        </w:rPr>
        <w:t>Intrusieve schadeobsessies, compulsieve mentale controle, vermijding van schaderisico en uitgesproken tijdsbelasting door OCD-klachten.  Duur: ongeveer 20 maanden.</w:t>
      </w:r>
    </w:p>
    <w:p>
      <w:r>
        <w:rPr>
          <w:b/>
          <w:sz w:val="20"/>
        </w:rPr>
        <w:t xml:space="preserve">21-daagse monitoring:  </w:t>
      </w:r>
      <w:r>
        <w:rPr>
          <w:sz w:val="20"/>
        </w:rPr>
        <w:t>Compulsie- en controletijd: gem. 2,4 uur/dag. Vermijdingsepisodes: gem. 3,8/dag. Weerstandsoefening: gem. 18 min/dag. Distress bij niet reageren: 7,2/10. Slaap: gem. 5,6 uur/nacht. Geruststellingsvragen: gem. 4,1/dag.</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488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120640" cy="3654881"/>
                    </a:xfrm>
                    <a:prstGeom prst="rect"/>
                  </pic:spPr>
                </pic:pic>
              </a:graphicData>
            </a:graphic>
          </wp:inline>
        </w:drawing>
      </w:r>
    </w:p>
    <w:p/>
    <w:p>
      <w:r>
        <w:rPr>
          <w:sz w:val="20"/>
        </w:rPr>
        <w:t>Beschikbare predictors:  P1: Compulsie-uitstel,  P2: Vermijdingsbeheer,  P3: Onzekerheidstolerantie,  P4: Slaapkwaliteit,  P5: Geruststellingszoekend gedrag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32-jarige marketingprofessional -- Deel 3</w:t>
      </w:r>
    </w:p>
    <w:p>
      <w:pPr>
        <w:jc w:val="left"/>
        <w:shd w:val="clear" w:color="auto" w:fill="EFF6FF"/>
      </w:pPr>
      <w:r>
        <w:rPr>
          <w:sz w:val="20"/>
        </w:rPr>
        <w:t>Casus 2: 32-jarige marketingprofessional</w:t>
      </w:r>
      <w:r>
        <w:br/>
      </w:r>
      <w:r>
        <w:rPr>
          <w:sz w:val="20"/>
        </w:rPr>
        <w:t>Prestatieangst op het werk, post-event ruminatie, excessieve voorbereiding en vermijding van zichtbaarheid.  Duur: persisterend sinds het begin van de loopbaan (meer dan 3 jaar).</w:t>
      </w:r>
    </w:p>
    <w:p>
      <w:r>
        <w:rPr>
          <w:b/>
          <w:sz w:val="20"/>
        </w:rPr>
        <w:t xml:space="preserve">21-daagse monitoring:  </w:t>
      </w:r>
      <w:r>
        <w:rPr>
          <w:sz w:val="20"/>
        </w:rPr>
        <w:t>Professionele exposures aangegaan: gem. 0,9/week. Post-event verwerkingstijd: gem. 68 min per gebeurtenis. Pre-event voorbereiding: gem. 3,2 uur per gebeurtenis. Zelfbeoordeling versus externe feedback: 4,1 versus 6,8/10. Afgeslagen doorgroeikansen: 3 in de voorbije 4 weken.</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76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20640" cy="3657600"/>
                    </a:xfrm>
                    <a:prstGeom prst="rect"/>
                  </pic:spPr>
                </pic:pic>
              </a:graphicData>
            </a:graphic>
          </wp:inline>
        </w:drawing>
      </w:r>
    </w:p>
    <w:p/>
    <w:p>
      <w:r>
        <w:rPr>
          <w:sz w:val="20"/>
        </w:rPr>
        <w:t>Beschikbare predictors:  P1: Professionele exposure,  P2: Post-event verwerking,  P3: Zelfevaluatiebias,  P4: Voorbereidingstijd,  P5: Vermijdingslogging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6 EMA-items uit een lijst van 20: 2 sub-predictoren per behandeldoel (3 x 2 = 6). Start vanuit de gestandaardiseerde behandeldoelen en kies per behandeldoel 2 dagelijkse EMA-items die daar het best op aansluiten als directe subpredictoren. Verkies klinisch relevante breedte boven irrelevante of perifere items.</w:t>
      </w:r>
    </w:p>
    <w:p>
      <w:r>
        <w:br w:type="page"/>
      </w:r>
    </w:p>
    <w:p>
      <w:pPr>
        <w:pStyle w:val="Heading2"/>
        <w:jc w:val="left"/>
      </w:pPr>
      <w:r>
        <w:t>Casus 1: 25-jarige postgraduaatsstudent -- Deel 4</w:t>
      </w:r>
    </w:p>
    <w:p>
      <w:r>
        <w:rPr>
          <w:b/>
          <w:sz w:val="20"/>
        </w:rPr>
        <w:t>Gestandaardiseerde behandeldoelen uit Deel 3:</w:t>
      </w:r>
    </w:p>
    <w:p>
      <w:pPr>
        <w:pStyle w:val="ListBullet"/>
      </w:pPr>
      <w:r>
        <w:rPr>
          <w:b/>
          <w:sz w:val="18"/>
        </w:rPr>
        <w:t xml:space="preserve">Compulsie-uitstel  </w:t>
      </w:r>
      <w:r>
        <w:rPr>
          <w:sz w:val="18"/>
        </w:rPr>
        <w:t>(weinig toegepast ten opzichte van de benodigde ERP-intensiteit; centraal aangrijpingspunt)</w:t>
      </w:r>
    </w:p>
    <w:p>
      <w:pPr>
        <w:pStyle w:val="ListBullet"/>
      </w:pPr>
      <w:r>
        <w:rPr>
          <w:b/>
          <w:sz w:val="18"/>
        </w:rPr>
        <w:t xml:space="preserve">Vermijdingsbeheer  </w:t>
      </w:r>
      <w:r>
        <w:rPr>
          <w:sz w:val="18"/>
        </w:rPr>
        <w:t>(hoge vermijdingsfrequentie onderhoudt de obsessie-compulsiecyclus)</w:t>
      </w:r>
    </w:p>
    <w:p>
      <w:pPr>
        <w:pStyle w:val="ListBullet"/>
      </w:pPr>
      <w:r>
        <w:rPr>
          <w:b/>
          <w:sz w:val="18"/>
        </w:rPr>
        <w:t xml:space="preserve">Onzekerheidstolerantie  </w:t>
      </w:r>
      <w:r>
        <w:rPr>
          <w:sz w:val="18"/>
        </w:rPr>
        <w:t>(lage tolerantie voedt zowel intrusies als mentale controle)</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Schermtijd na 22.00 uur (min)</w:t>
      </w:r>
    </w:p>
    <w:p>
      <w:pPr>
        <w:pStyle w:val="ListParagraph"/>
        <w:ind w:left="283"/>
      </w:pPr>
      <w:r>
        <w:rPr>
          <w:sz w:val="20"/>
        </w:rPr>
        <w:t xml:space="preserve"> 2.  □  Minuten gewacht voor uitvoeren van een compulsie (min)</w:t>
      </w:r>
    </w:p>
    <w:p>
      <w:pPr>
        <w:pStyle w:val="ListParagraph"/>
        <w:ind w:left="283"/>
      </w:pPr>
      <w:r>
        <w:rPr>
          <w:sz w:val="20"/>
        </w:rPr>
        <w:t xml:space="preserve"> 3.  □  Slaapduur afgelopen nacht (uren)</w:t>
      </w:r>
    </w:p>
    <w:p>
      <w:pPr>
        <w:pStyle w:val="ListParagraph"/>
        <w:ind w:left="283"/>
      </w:pPr>
      <w:r>
        <w:rPr>
          <w:sz w:val="20"/>
        </w:rPr>
        <w:t xml:space="preserve"> 4.  □  Compulsieve handeling volledig uitgesteld (ja/nee)</w:t>
      </w:r>
    </w:p>
    <w:p>
      <w:pPr>
        <w:pStyle w:val="ListParagraph"/>
        <w:ind w:left="283"/>
      </w:pPr>
      <w:r>
        <w:rPr>
          <w:sz w:val="20"/>
        </w:rPr>
        <w:t xml:space="preserve"> 5.  □  Spierspanning in de schouders (0--10)</w:t>
      </w:r>
    </w:p>
    <w:p>
      <w:pPr>
        <w:pStyle w:val="ListParagraph"/>
        <w:ind w:left="283"/>
      </w:pPr>
      <w:r>
        <w:rPr>
          <w:sz w:val="20"/>
        </w:rPr>
        <w:t xml:space="preserve"> 6.  □  Cafeine-inname na de middag (aantal)</w:t>
      </w:r>
    </w:p>
    <w:p>
      <w:pPr>
        <w:pStyle w:val="ListParagraph"/>
        <w:ind w:left="283"/>
      </w:pPr>
      <w:r>
        <w:rPr>
          <w:sz w:val="20"/>
        </w:rPr>
        <w:t xml:space="preserve"> 7.  □  Vermeden situatie betreden zonder compulsie (ja/nee)</w:t>
      </w:r>
    </w:p>
    <w:p>
      <w:pPr>
        <w:pStyle w:val="ListParagraph"/>
        <w:ind w:left="283"/>
      </w:pPr>
      <w:r>
        <w:rPr>
          <w:sz w:val="20"/>
        </w:rPr>
        <w:t xml:space="preserve"> 8.  □  Studie-uren vandaag (uren)</w:t>
      </w:r>
    </w:p>
    <w:p>
      <w:pPr>
        <w:pStyle w:val="ListParagraph"/>
        <w:ind w:left="283"/>
      </w:pPr>
      <w:r>
        <w:rPr>
          <w:sz w:val="20"/>
        </w:rPr>
        <w:t xml:space="preserve"> 9.  □  Somatische angstsensaties (0--10)</w:t>
      </w:r>
    </w:p>
    <w:p>
      <w:pPr>
        <w:pStyle w:val="ListParagraph"/>
        <w:ind w:left="283"/>
      </w:pPr>
      <w:r>
        <w:rPr>
          <w:sz w:val="20"/>
        </w:rPr>
        <w:t>10.  □  Duur verblijf in obsessie-activerende situatie zonder vermijden (min)</w:t>
      </w:r>
    </w:p>
    <w:p>
      <w:pPr>
        <w:pStyle w:val="ListParagraph"/>
        <w:ind w:left="283"/>
      </w:pPr>
      <w:r>
        <w:rPr>
          <w:sz w:val="20"/>
        </w:rPr>
        <w:t>11.  □  Maaltijdlust vandaag (0--10)</w:t>
      </w:r>
    </w:p>
    <w:p>
      <w:pPr>
        <w:pStyle w:val="ListParagraph"/>
        <w:ind w:left="283"/>
      </w:pPr>
      <w:r>
        <w:rPr>
          <w:sz w:val="20"/>
        </w:rPr>
        <w:t>12.  □  Slaapritme consistent gevolgd (ja/nee)</w:t>
      </w:r>
    </w:p>
    <w:p>
      <w:pPr>
        <w:pStyle w:val="ListParagraph"/>
        <w:ind w:left="283"/>
      </w:pPr>
      <w:r>
        <w:rPr>
          <w:sz w:val="20"/>
        </w:rPr>
        <w:t>13.  □  Onzekerheid getolereerd zonder controlehandeling (min)</w:t>
      </w:r>
    </w:p>
    <w:p>
      <w:pPr>
        <w:pStyle w:val="ListParagraph"/>
        <w:ind w:left="283"/>
      </w:pPr>
      <w:r>
        <w:rPr>
          <w:sz w:val="20"/>
        </w:rPr>
        <w:t>14.  □  Geruststelling gevraagd (aantal)</w:t>
      </w:r>
    </w:p>
    <w:p>
      <w:pPr>
        <w:pStyle w:val="ListParagraph"/>
        <w:ind w:left="283"/>
      </w:pPr>
      <w:r>
        <w:rPr>
          <w:sz w:val="20"/>
        </w:rPr>
        <w:t>15.  □  Alcoholinname in de avond (aantal)</w:t>
      </w:r>
    </w:p>
    <w:p>
      <w:pPr>
        <w:pStyle w:val="ListParagraph"/>
        <w:ind w:left="283"/>
      </w:pPr>
      <w:r>
        <w:rPr>
          <w:sz w:val="20"/>
        </w:rPr>
        <w:t>16.  □  Onzekerheidstolerantieoefening bewust uitgevoerd (ja/nee)</w:t>
      </w:r>
    </w:p>
    <w:p>
      <w:pPr>
        <w:pStyle w:val="ListParagraph"/>
        <w:ind w:left="283"/>
      </w:pPr>
      <w:r>
        <w:rPr>
          <w:sz w:val="20"/>
        </w:rPr>
        <w:t>17.  □  Concentratie tijdens studeren (0--10)</w:t>
      </w:r>
    </w:p>
    <w:p>
      <w:pPr>
        <w:pStyle w:val="ListParagraph"/>
        <w:ind w:left="283"/>
      </w:pPr>
      <w:r>
        <w:rPr>
          <w:sz w:val="20"/>
        </w:rPr>
        <w:t>18.  □  Contact met vrienden vandaag (ja/nee)</w:t>
      </w:r>
    </w:p>
    <w:p>
      <w:pPr>
        <w:pStyle w:val="ListParagraph"/>
        <w:ind w:left="283"/>
      </w:pPr>
      <w:r>
        <w:rPr>
          <w:sz w:val="20"/>
        </w:rPr>
        <w:t>19.  □  Aantal sociale afspraken vandaag (aantal)</w:t>
      </w:r>
    </w:p>
    <w:p>
      <w:pPr>
        <w:pStyle w:val="ListParagraph"/>
        <w:ind w:left="283"/>
      </w:pPr>
      <w:r>
        <w:rPr>
          <w:sz w:val="20"/>
        </w:rPr>
        <w:t>20.  □  Lichamelijke activiteit vandaag (min)</w:t>
      </w:r>
    </w:p>
    <w:p/>
    <w:p>
      <w:r>
        <w:rPr>
          <w:b/>
          <w:sz w:val="20"/>
        </w:rPr>
        <w:t>Totaal geselecteerd: _____ / 6</w:t>
      </w:r>
    </w:p>
    <w:p>
      <w:r>
        <w:br w:type="page"/>
      </w:r>
    </w:p>
    <w:p>
      <w:pPr>
        <w:pStyle w:val="Heading2"/>
        <w:jc w:val="left"/>
      </w:pPr>
      <w:r>
        <w:t>Casus 2: 32-jarige marketingprofessional -- Deel 4</w:t>
      </w:r>
    </w:p>
    <w:p>
      <w:r>
        <w:rPr>
          <w:b/>
          <w:sz w:val="20"/>
        </w:rPr>
        <w:t>Gestandaardiseerde behandeldoelen uit Deel 3:</w:t>
      </w:r>
    </w:p>
    <w:p>
      <w:pPr>
        <w:pStyle w:val="ListBullet"/>
      </w:pPr>
      <w:r>
        <w:rPr>
          <w:b/>
          <w:sz w:val="18"/>
        </w:rPr>
        <w:t xml:space="preserve">Professionele exposure  </w:t>
      </w:r>
      <w:r>
        <w:rPr>
          <w:sz w:val="18"/>
        </w:rPr>
        <w:t>(lage frequentie terwijl dit het kernmechanisme is voor angstreductie)</w:t>
      </w:r>
    </w:p>
    <w:p>
      <w:pPr>
        <w:pStyle w:val="ListBullet"/>
      </w:pPr>
      <w:r>
        <w:rPr>
          <w:b/>
          <w:sz w:val="18"/>
        </w:rPr>
        <w:t xml:space="preserve">Post-event verwerking  </w:t>
      </w:r>
      <w:r>
        <w:rPr>
          <w:sz w:val="18"/>
        </w:rPr>
        <w:t>(gemiddeld 68 minuten per gebeurtenis; duidelijke onderhoudende factor voor CR-2)</w:t>
      </w:r>
    </w:p>
    <w:p>
      <w:pPr>
        <w:pStyle w:val="ListBullet"/>
      </w:pPr>
      <w:r>
        <w:rPr>
          <w:b/>
          <w:sz w:val="18"/>
        </w:rPr>
        <w:t xml:space="preserve">Vermijdingslogging  </w:t>
      </w:r>
      <w:r>
        <w:rPr>
          <w:sz w:val="18"/>
        </w:rPr>
        <w:t>(zichtbaar maken van gemiste kansen is cruciaal voor CR-4 en behandelsturing)</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Slaapduur afgelopen nacht (uren)</w:t>
      </w:r>
    </w:p>
    <w:p>
      <w:pPr>
        <w:pStyle w:val="ListParagraph"/>
        <w:ind w:left="283"/>
      </w:pPr>
      <w:r>
        <w:rPr>
          <w:sz w:val="20"/>
        </w:rPr>
        <w:t xml:space="preserve"> 2.  □  Professionele situatie bewust opgezocht (ja/nee)</w:t>
      </w:r>
    </w:p>
    <w:p>
      <w:pPr>
        <w:pStyle w:val="ListParagraph"/>
        <w:ind w:left="283"/>
      </w:pPr>
      <w:r>
        <w:rPr>
          <w:sz w:val="20"/>
        </w:rPr>
        <w:t xml:space="preserve"> 3.  □  Aantal koffies voor een afspraak (aantal)</w:t>
      </w:r>
    </w:p>
    <w:p>
      <w:pPr>
        <w:pStyle w:val="ListParagraph"/>
        <w:ind w:left="283"/>
      </w:pPr>
      <w:r>
        <w:rPr>
          <w:sz w:val="20"/>
        </w:rPr>
        <w:t xml:space="preserve"> 4.  □  Lichamelijke spanning voor het werk (0--10)</w:t>
      </w:r>
    </w:p>
    <w:p>
      <w:pPr>
        <w:pStyle w:val="ListParagraph"/>
        <w:ind w:left="283"/>
      </w:pPr>
      <w:r>
        <w:rPr>
          <w:sz w:val="20"/>
        </w:rPr>
        <w:t xml:space="preserve"> 5.  □  Spreektijd in een vergadering of meeting (min)</w:t>
      </w:r>
    </w:p>
    <w:p>
      <w:pPr>
        <w:pStyle w:val="ListParagraph"/>
        <w:ind w:left="283"/>
      </w:pPr>
      <w:r>
        <w:rPr>
          <w:sz w:val="20"/>
        </w:rPr>
        <w:t xml:space="preserve"> 6.  □  Positieve feedback ontvangen (ja/nee)</w:t>
      </w:r>
    </w:p>
    <w:p>
      <w:pPr>
        <w:pStyle w:val="ListParagraph"/>
        <w:ind w:left="283"/>
      </w:pPr>
      <w:r>
        <w:rPr>
          <w:sz w:val="20"/>
        </w:rPr>
        <w:t xml:space="preserve"> 7.  □  Naverwerking van professionele prestatie in avond (min)</w:t>
      </w:r>
    </w:p>
    <w:p>
      <w:pPr>
        <w:pStyle w:val="ListParagraph"/>
        <w:ind w:left="283"/>
      </w:pPr>
      <w:r>
        <w:rPr>
          <w:sz w:val="20"/>
        </w:rPr>
        <w:t xml:space="preserve"> 8.  □  Werkuren vandaag (uren)</w:t>
      </w:r>
    </w:p>
    <w:p>
      <w:pPr>
        <w:pStyle w:val="ListParagraph"/>
        <w:ind w:left="283"/>
      </w:pPr>
      <w:r>
        <w:rPr>
          <w:sz w:val="20"/>
        </w:rPr>
        <w:t xml:space="preserve"> 9.  □  Middagpauze genomen (ja/nee)</w:t>
      </w:r>
    </w:p>
    <w:p>
      <w:pPr>
        <w:pStyle w:val="ListParagraph"/>
        <w:ind w:left="283"/>
      </w:pPr>
      <w:r>
        <w:rPr>
          <w:sz w:val="20"/>
        </w:rPr>
        <w:t>10.  □  Mentale replay van een situatie voor het slapengaan (ja/nee)</w:t>
      </w:r>
    </w:p>
    <w:p>
      <w:pPr>
        <w:pStyle w:val="ListParagraph"/>
        <w:ind w:left="283"/>
      </w:pPr>
      <w:r>
        <w:rPr>
          <w:sz w:val="20"/>
        </w:rPr>
        <w:t>11.  □  Schermtijd na 21.00 uur (min)</w:t>
      </w:r>
    </w:p>
    <w:p>
      <w:pPr>
        <w:pStyle w:val="ListParagraph"/>
        <w:ind w:left="283"/>
      </w:pPr>
      <w:r>
        <w:rPr>
          <w:sz w:val="20"/>
        </w:rPr>
        <w:t>12.  □  Zelfevaluatie vergeleken met externe feedback (ja/nee)</w:t>
      </w:r>
    </w:p>
    <w:p>
      <w:pPr>
        <w:pStyle w:val="ListParagraph"/>
        <w:ind w:left="283"/>
      </w:pPr>
      <w:r>
        <w:rPr>
          <w:sz w:val="20"/>
        </w:rPr>
        <w:t>13.  □  Gemiste professionele kans genoteerd (ja/nee)</w:t>
      </w:r>
    </w:p>
    <w:p>
      <w:pPr>
        <w:pStyle w:val="ListParagraph"/>
        <w:ind w:left="283"/>
      </w:pPr>
      <w:r>
        <w:rPr>
          <w:sz w:val="20"/>
        </w:rPr>
        <w:t>14.  □  Eetlust voor de lunch (0--10)</w:t>
      </w:r>
    </w:p>
    <w:p>
      <w:pPr>
        <w:pStyle w:val="ListParagraph"/>
        <w:ind w:left="283"/>
      </w:pPr>
      <w:r>
        <w:rPr>
          <w:sz w:val="20"/>
        </w:rPr>
        <w:t>15.  □  Aerobe beweging vandaag (min)</w:t>
      </w:r>
    </w:p>
    <w:p>
      <w:pPr>
        <w:pStyle w:val="ListParagraph"/>
        <w:ind w:left="283"/>
      </w:pPr>
      <w:r>
        <w:rPr>
          <w:sz w:val="20"/>
        </w:rPr>
        <w:t>16.  □  Vermijdingsepisode in logboek bijgehouden (ja/nee)</w:t>
      </w:r>
    </w:p>
    <w:p>
      <w:pPr>
        <w:pStyle w:val="ListParagraph"/>
        <w:ind w:left="283"/>
      </w:pPr>
      <w:r>
        <w:rPr>
          <w:sz w:val="20"/>
        </w:rPr>
        <w:t>17.  □  Irritatie naar collega's (0--10)</w:t>
      </w:r>
    </w:p>
    <w:p>
      <w:pPr>
        <w:pStyle w:val="ListParagraph"/>
        <w:ind w:left="283"/>
      </w:pPr>
      <w:r>
        <w:rPr>
          <w:sz w:val="20"/>
        </w:rPr>
        <w:t>18.  □  Ochtendmoeheid (0--10)</w:t>
      </w:r>
    </w:p>
    <w:p>
      <w:pPr>
        <w:pStyle w:val="ListParagraph"/>
        <w:ind w:left="283"/>
      </w:pPr>
      <w:r>
        <w:rPr>
          <w:sz w:val="20"/>
        </w:rPr>
        <w:t>19.  □  Aantal sociale berichten verstuurd (aantal)</w:t>
      </w:r>
    </w:p>
    <w:p>
      <w:pPr>
        <w:pStyle w:val="ListParagraph"/>
        <w:ind w:left="283"/>
      </w:pPr>
      <w:r>
        <w:rPr>
          <w:sz w:val="20"/>
        </w:rPr>
        <w:t>20.  □  Sociale steun gevraagd (ja/nee)</w:t>
      </w:r>
    </w:p>
    <w:p/>
    <w:p>
      <w:r>
        <w:rPr>
          <w:b/>
          <w:sz w:val="20"/>
        </w:rPr>
        <w:t>Totaal geselecteerd: _____ / 6</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25-jarige postgraduaatsstudent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Belastende intrusieve gedachten leiden tot langdurige mentale controle en duidelijke functionele hinder.</w:t>
            </w:r>
          </w:p>
        </w:tc>
      </w:tr>
      <w:tr>
        <w:tc>
          <w:tcPr>
            <w:tcW w:type="dxa" w:w="2268"/>
          </w:tcPr>
          <w:p>
            <w:r>
              <w:rPr>
                <w:b/>
                <w:color w:val="047857"/>
                <w:sz w:val="18"/>
              </w:rPr>
              <w:t>Behandeldoel</w:t>
            </w:r>
          </w:p>
        </w:tc>
        <w:tc>
          <w:tcPr>
            <w:tcW w:type="dxa" w:w="4703"/>
          </w:tcPr>
          <w:p>
            <w:r>
              <w:rPr>
                <w:sz w:val="18"/>
              </w:rPr>
              <w:t>De tijd tussen intrusie en controlehandeling systematisch verlengen.</w:t>
            </w:r>
          </w:p>
        </w:tc>
      </w:tr>
      <w:tr>
        <w:tc>
          <w:tcPr>
            <w:tcW w:type="dxa" w:w="2268"/>
          </w:tcPr>
          <w:p>
            <w:r>
              <w:rPr>
                <w:b/>
                <w:color w:val="047857"/>
                <w:sz w:val="18"/>
              </w:rPr>
              <w:t>Voornaamste barriere</w:t>
            </w:r>
          </w:p>
        </w:tc>
        <w:tc>
          <w:tcPr>
            <w:tcW w:type="dxa" w:w="4703"/>
          </w:tcPr>
          <w:p>
            <w:r>
              <w:rPr>
                <w:sz w:val="18"/>
              </w:rPr>
              <w:t>Overschat risico: niet controleren voelt moreel onverantwoord en potentieel gevaarlijk.</w:t>
            </w:r>
          </w:p>
        </w:tc>
      </w:tr>
      <w:tr>
        <w:tc>
          <w:tcPr>
            <w:tcW w:type="dxa" w:w="2268"/>
          </w:tcPr>
          <w:p>
            <w:r>
              <w:rPr>
                <w:b/>
                <w:color w:val="047857"/>
                <w:sz w:val="18"/>
              </w:rPr>
              <w:t>Copingstrategie</w:t>
            </w:r>
          </w:p>
        </w:tc>
        <w:tc>
          <w:tcPr>
            <w:tcW w:type="dxa" w:w="4703"/>
          </w:tcPr>
          <w:p>
            <w:r>
              <w:rPr>
                <w:sz w:val="18"/>
              </w:rPr>
              <w:t>Gebruik een uitstelregel met een korte grondingsoefening als vast alternatief tijdens de eerste minuten.</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32-jarige marketingprofessional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Sterke angst in professionele evaluatie- en zichtbaarheidssituaties met langdurige naverwerking.</w:t>
            </w:r>
          </w:p>
        </w:tc>
      </w:tr>
      <w:tr>
        <w:tc>
          <w:tcPr>
            <w:tcW w:type="dxa" w:w="2268"/>
          </w:tcPr>
          <w:p>
            <w:r>
              <w:rPr>
                <w:b/>
                <w:color w:val="047857"/>
                <w:sz w:val="18"/>
              </w:rPr>
              <w:t>Behandeldoel</w:t>
            </w:r>
          </w:p>
        </w:tc>
        <w:tc>
          <w:tcPr>
            <w:tcW w:type="dxa" w:w="4703"/>
          </w:tcPr>
          <w:p>
            <w:r>
              <w:rPr>
                <w:sz w:val="18"/>
              </w:rPr>
              <w:t>Professionele exposure uitvoeren ondanks spanning en achteraf functioneel evalueren.</w:t>
            </w:r>
          </w:p>
        </w:tc>
      </w:tr>
      <w:tr>
        <w:tc>
          <w:tcPr>
            <w:tcW w:type="dxa" w:w="2268"/>
          </w:tcPr>
          <w:p>
            <w:r>
              <w:rPr>
                <w:b/>
                <w:color w:val="047857"/>
                <w:sz w:val="18"/>
              </w:rPr>
              <w:t>Voornaamste barriere</w:t>
            </w:r>
          </w:p>
        </w:tc>
        <w:tc>
          <w:tcPr>
            <w:tcW w:type="dxa" w:w="4703"/>
          </w:tcPr>
          <w:p>
            <w:r>
              <w:rPr>
                <w:sz w:val="18"/>
              </w:rPr>
              <w:t>Grote kloof in zelfeffectiviteit: de persoon verwacht dat exposure zal bevestigen dat hij of zij tekortschiet.</w:t>
            </w:r>
          </w:p>
        </w:tc>
      </w:tr>
      <w:tr>
        <w:tc>
          <w:tcPr>
            <w:tcW w:type="dxa" w:w="2268"/>
          </w:tcPr>
          <w:p>
            <w:r>
              <w:rPr>
                <w:b/>
                <w:color w:val="047857"/>
                <w:sz w:val="18"/>
              </w:rPr>
              <w:t>Copingstrategie</w:t>
            </w:r>
          </w:p>
        </w:tc>
        <w:tc>
          <w:tcPr>
            <w:tcW w:type="dxa" w:w="4703"/>
          </w:tcPr>
          <w:p>
            <w:r>
              <w:rPr>
                <w:sz w:val="18"/>
              </w:rPr>
              <w:t>Gebruik een gedragsproef waarbij voorspelde prestatie expliciet wordt vergeleken met feitelijke feedback.</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6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PHOENIX-PRE-HCP-PRE-03</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