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ACE4" w14:textId="77777777" w:rsidR="00BF5725" w:rsidRDefault="00000000">
      <w:pPr>
        <w:pStyle w:val="Heading1"/>
      </w:pPr>
      <w:bookmarkStart w:id="0" w:name="X24810ffb448b90e9039efded79494a656a943e1"/>
      <w:r>
        <w:t>Gap Analysis: Agreed Positions Sections 3:1–3:10</w:t>
      </w:r>
      <w:bookmarkEnd w:id="0"/>
    </w:p>
    <w:p w14:paraId="22A1A8FB" w14:textId="77777777" w:rsidR="00BF5725" w:rsidRDefault="00000000">
      <w:pPr>
        <w:pStyle w:val="Heading1"/>
      </w:pPr>
      <w:bookmarkStart w:id="1" w:name="generated-12-january-2026"/>
      <w:r>
        <w:t>Generated: 12 January 2026</w:t>
      </w:r>
      <w:bookmarkEnd w:id="1"/>
    </w:p>
    <w:p w14:paraId="2EDC6C4B" w14:textId="77777777" w:rsidR="00BF5725" w:rsidRDefault="00000000">
      <w:pPr>
        <w:pStyle w:val="Heading2"/>
      </w:pPr>
      <w:bookmarkStart w:id="2" w:name="summary-table"/>
      <w:r>
        <w:t>Summary Table</w:t>
      </w:r>
      <w:bookmarkEnd w:id="2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968"/>
        <w:gridCol w:w="2323"/>
        <w:gridCol w:w="2073"/>
        <w:gridCol w:w="4212"/>
      </w:tblGrid>
      <w:tr w:rsidR="00BF5725" w14:paraId="54FC9EF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9333B2F" w14:textId="77777777" w:rsidR="00BF5725" w:rsidRDefault="00000000">
            <w:pPr>
              <w:pStyle w:val="Compact"/>
            </w:pPr>
            <w:r>
              <w:t>Section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724DEC" w14:textId="77777777" w:rsidR="00BF5725" w:rsidRDefault="00000000">
            <w:pPr>
              <w:pStyle w:val="Compact"/>
            </w:pPr>
            <w:r>
              <w:t>Topic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241407" w14:textId="77777777" w:rsidR="00BF5725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211A5A" w14:textId="77777777" w:rsidR="00BF5725" w:rsidRDefault="00000000">
            <w:pPr>
              <w:pStyle w:val="Compact"/>
            </w:pPr>
            <w:r>
              <w:t>Action</w:t>
            </w:r>
          </w:p>
        </w:tc>
      </w:tr>
      <w:tr w:rsidR="00BF5725" w14:paraId="4F112AC3" w14:textId="77777777">
        <w:tc>
          <w:tcPr>
            <w:tcW w:w="0" w:type="auto"/>
          </w:tcPr>
          <w:p w14:paraId="7A6AA937" w14:textId="77777777" w:rsidR="00BF5725" w:rsidRDefault="00000000">
            <w:pPr>
              <w:pStyle w:val="Compact"/>
            </w:pPr>
            <w:r>
              <w:rPr>
                <w:b/>
              </w:rPr>
              <w:t>3:1</w:t>
            </w:r>
          </w:p>
        </w:tc>
        <w:tc>
          <w:tcPr>
            <w:tcW w:w="0" w:type="auto"/>
          </w:tcPr>
          <w:p w14:paraId="68EA941F" w14:textId="77777777" w:rsidR="00BF5725" w:rsidRDefault="00000000">
            <w:pPr>
              <w:pStyle w:val="Compact"/>
            </w:pPr>
            <w:r>
              <w:t>Household Packaging</w:t>
            </w:r>
          </w:p>
        </w:tc>
        <w:tc>
          <w:tcPr>
            <w:tcW w:w="0" w:type="auto"/>
          </w:tcPr>
          <w:p w14:paraId="0A414DBF" w14:textId="77777777" w:rsidR="00BF5725" w:rsidRDefault="00000000">
            <w:pPr>
              <w:pStyle w:val="Compact"/>
            </w:pPr>
            <w:r>
              <w:t>FULLY COVERED</w:t>
            </w:r>
          </w:p>
        </w:tc>
        <w:tc>
          <w:tcPr>
            <w:tcW w:w="0" w:type="auto"/>
          </w:tcPr>
          <w:p w14:paraId="06503BC2" w14:textId="77777777" w:rsidR="00BF5725" w:rsidRDefault="00000000">
            <w:pPr>
              <w:pStyle w:val="Compact"/>
            </w:pPr>
            <w:r>
              <w:t>Absorb winery examples + decision tree</w:t>
            </w:r>
          </w:p>
        </w:tc>
      </w:tr>
      <w:tr w:rsidR="00BF5725" w14:paraId="2EB19F9F" w14:textId="77777777">
        <w:tc>
          <w:tcPr>
            <w:tcW w:w="0" w:type="auto"/>
          </w:tcPr>
          <w:p w14:paraId="60A257E6" w14:textId="77777777" w:rsidR="00BF5725" w:rsidRDefault="00000000">
            <w:pPr>
              <w:pStyle w:val="Compact"/>
            </w:pPr>
            <w:r>
              <w:rPr>
                <w:b/>
              </w:rPr>
              <w:t>3:2</w:t>
            </w:r>
          </w:p>
        </w:tc>
        <w:tc>
          <w:tcPr>
            <w:tcW w:w="0" w:type="auto"/>
          </w:tcPr>
          <w:p w14:paraId="4F130352" w14:textId="77777777" w:rsidR="00BF5725" w:rsidRDefault="00000000">
            <w:pPr>
              <w:pStyle w:val="Compact"/>
            </w:pPr>
            <w:r>
              <w:t>Supply</w:t>
            </w:r>
          </w:p>
        </w:tc>
        <w:tc>
          <w:tcPr>
            <w:tcW w:w="0" w:type="auto"/>
          </w:tcPr>
          <w:p w14:paraId="277348CB" w14:textId="77777777" w:rsidR="00BF5725" w:rsidRDefault="00000000">
            <w:pPr>
              <w:pStyle w:val="Compact"/>
            </w:pPr>
            <w:r>
              <w:rPr>
                <w:b/>
              </w:rPr>
              <w:t>PARTIALLY COVERED</w:t>
            </w:r>
          </w:p>
        </w:tc>
        <w:tc>
          <w:tcPr>
            <w:tcW w:w="0" w:type="auto"/>
          </w:tcPr>
          <w:p w14:paraId="0CBC4BB9" w14:textId="77777777" w:rsidR="00BF5725" w:rsidRDefault="00000000">
            <w:pPr>
              <w:pStyle w:val="Compact"/>
            </w:pPr>
            <w:r>
              <w:rPr>
                <w:b/>
              </w:rPr>
              <w:t>Needs standalone page or major expansion</w:t>
            </w:r>
          </w:p>
        </w:tc>
      </w:tr>
      <w:tr w:rsidR="00BF5725" w14:paraId="298E5615" w14:textId="77777777">
        <w:tc>
          <w:tcPr>
            <w:tcW w:w="0" w:type="auto"/>
          </w:tcPr>
          <w:p w14:paraId="6F455F11" w14:textId="77777777" w:rsidR="00BF5725" w:rsidRDefault="00000000">
            <w:pPr>
              <w:pStyle w:val="Compact"/>
            </w:pPr>
            <w:r>
              <w:rPr>
                <w:b/>
              </w:rPr>
              <w:t>3:3</w:t>
            </w:r>
          </w:p>
        </w:tc>
        <w:tc>
          <w:tcPr>
            <w:tcW w:w="0" w:type="auto"/>
          </w:tcPr>
          <w:p w14:paraId="535CF3E1" w14:textId="77777777" w:rsidR="00BF5725" w:rsidRDefault="00000000">
            <w:pPr>
              <w:pStyle w:val="Compact"/>
            </w:pPr>
            <w:r>
              <w:t>Established in UK</w:t>
            </w:r>
          </w:p>
        </w:tc>
        <w:tc>
          <w:tcPr>
            <w:tcW w:w="0" w:type="auto"/>
          </w:tcPr>
          <w:p w14:paraId="3004DD60" w14:textId="77777777" w:rsidR="00BF5725" w:rsidRDefault="00000000">
            <w:pPr>
              <w:pStyle w:val="Compact"/>
            </w:pPr>
            <w:r>
              <w:t>FULLY COVERED</w:t>
            </w:r>
          </w:p>
        </w:tc>
        <w:tc>
          <w:tcPr>
            <w:tcW w:w="0" w:type="auto"/>
          </w:tcPr>
          <w:p w14:paraId="45AD6F29" w14:textId="77777777" w:rsidR="00BF5725" w:rsidRDefault="00000000">
            <w:pPr>
              <w:pStyle w:val="Compact"/>
            </w:pPr>
            <w:r>
              <w:t>Add subsidiary clarification</w:t>
            </w:r>
          </w:p>
        </w:tc>
      </w:tr>
      <w:tr w:rsidR="00BF5725" w14:paraId="0B16D8A1" w14:textId="77777777">
        <w:tc>
          <w:tcPr>
            <w:tcW w:w="0" w:type="auto"/>
          </w:tcPr>
          <w:p w14:paraId="54892378" w14:textId="77777777" w:rsidR="00BF5725" w:rsidRDefault="00000000">
            <w:pPr>
              <w:pStyle w:val="Compact"/>
            </w:pPr>
            <w:r>
              <w:rPr>
                <w:b/>
              </w:rPr>
              <w:t>3:4</w:t>
            </w:r>
          </w:p>
        </w:tc>
        <w:tc>
          <w:tcPr>
            <w:tcW w:w="0" w:type="auto"/>
          </w:tcPr>
          <w:p w14:paraId="2C228325" w14:textId="77777777" w:rsidR="00BF5725" w:rsidRDefault="00000000">
            <w:pPr>
              <w:pStyle w:val="Compact"/>
            </w:pPr>
            <w:r>
              <w:t>Brands &amp; Brand Owners</w:t>
            </w:r>
          </w:p>
        </w:tc>
        <w:tc>
          <w:tcPr>
            <w:tcW w:w="0" w:type="auto"/>
          </w:tcPr>
          <w:p w14:paraId="430DE008" w14:textId="77777777" w:rsidR="00BF5725" w:rsidRDefault="00000000">
            <w:pPr>
              <w:pStyle w:val="Compact"/>
            </w:pPr>
            <w:r>
              <w:t>FULLY COVERED</w:t>
            </w:r>
          </w:p>
        </w:tc>
        <w:tc>
          <w:tcPr>
            <w:tcW w:w="0" w:type="auto"/>
          </w:tcPr>
          <w:p w14:paraId="06587896" w14:textId="77777777" w:rsidR="00BF5725" w:rsidRDefault="00000000">
            <w:pPr>
              <w:pStyle w:val="Compact"/>
            </w:pPr>
            <w:r>
              <w:t>Add distinctive mark definition</w:t>
            </w:r>
          </w:p>
        </w:tc>
      </w:tr>
      <w:tr w:rsidR="00BF5725" w14:paraId="4CDA6F4D" w14:textId="77777777">
        <w:tc>
          <w:tcPr>
            <w:tcW w:w="0" w:type="auto"/>
          </w:tcPr>
          <w:p w14:paraId="06814C91" w14:textId="77777777" w:rsidR="00BF5725" w:rsidRDefault="00000000">
            <w:pPr>
              <w:pStyle w:val="Compact"/>
            </w:pPr>
            <w:r>
              <w:rPr>
                <w:b/>
              </w:rPr>
              <w:t>3:5</w:t>
            </w:r>
          </w:p>
        </w:tc>
        <w:tc>
          <w:tcPr>
            <w:tcW w:w="0" w:type="auto"/>
          </w:tcPr>
          <w:p w14:paraId="2963135F" w14:textId="77777777" w:rsidR="00BF5725" w:rsidRDefault="00000000">
            <w:pPr>
              <w:pStyle w:val="Compact"/>
            </w:pPr>
            <w:r>
              <w:t>Multi-Branded Packaging</w:t>
            </w:r>
          </w:p>
        </w:tc>
        <w:tc>
          <w:tcPr>
            <w:tcW w:w="0" w:type="auto"/>
          </w:tcPr>
          <w:p w14:paraId="58EADBEE" w14:textId="77777777" w:rsidR="00BF5725" w:rsidRDefault="00000000">
            <w:pPr>
              <w:pStyle w:val="Compact"/>
            </w:pPr>
            <w:r>
              <w:rPr>
                <w:b/>
              </w:rPr>
              <w:t>PARTIALLY COVERED</w:t>
            </w:r>
          </w:p>
        </w:tc>
        <w:tc>
          <w:tcPr>
            <w:tcW w:w="0" w:type="auto"/>
          </w:tcPr>
          <w:p w14:paraId="4504310C" w14:textId="77777777" w:rsidR="00BF5725" w:rsidRDefault="00000000">
            <w:pPr>
              <w:pStyle w:val="Compact"/>
            </w:pPr>
            <w:r>
              <w:rPr>
                <w:b/>
              </w:rPr>
              <w:t>Needs standalone page with 7+ worked examples</w:t>
            </w:r>
          </w:p>
        </w:tc>
      </w:tr>
      <w:tr w:rsidR="00BF5725" w14:paraId="695CF05C" w14:textId="77777777">
        <w:tc>
          <w:tcPr>
            <w:tcW w:w="0" w:type="auto"/>
          </w:tcPr>
          <w:p w14:paraId="72ECC3EC" w14:textId="77777777" w:rsidR="00BF5725" w:rsidRDefault="00000000">
            <w:pPr>
              <w:pStyle w:val="Compact"/>
            </w:pPr>
            <w:r>
              <w:rPr>
                <w:b/>
              </w:rPr>
              <w:t>3:6</w:t>
            </w:r>
          </w:p>
        </w:tc>
        <w:tc>
          <w:tcPr>
            <w:tcW w:w="0" w:type="auto"/>
          </w:tcPr>
          <w:p w14:paraId="0025249B" w14:textId="77777777" w:rsidR="00BF5725" w:rsidRDefault="00000000">
            <w:pPr>
              <w:pStyle w:val="Compact"/>
            </w:pPr>
            <w:r>
              <w:t>Branded by Packaging Type</w:t>
            </w:r>
          </w:p>
        </w:tc>
        <w:tc>
          <w:tcPr>
            <w:tcW w:w="0" w:type="auto"/>
          </w:tcPr>
          <w:p w14:paraId="2BFA0921" w14:textId="77777777" w:rsidR="00BF5725" w:rsidRDefault="00000000">
            <w:pPr>
              <w:pStyle w:val="Compact"/>
            </w:pPr>
            <w:r>
              <w:rPr>
                <w:b/>
              </w:rPr>
              <w:t>NOT COVERED</w:t>
            </w:r>
          </w:p>
        </w:tc>
        <w:tc>
          <w:tcPr>
            <w:tcW w:w="0" w:type="auto"/>
          </w:tcPr>
          <w:p w14:paraId="323D0105" w14:textId="77777777" w:rsidR="00BF5725" w:rsidRDefault="00000000">
            <w:pPr>
              <w:pStyle w:val="Compact"/>
            </w:pPr>
            <w:r>
              <w:rPr>
                <w:b/>
              </w:rPr>
              <w:t>Create new content — entire topic missing</w:t>
            </w:r>
          </w:p>
        </w:tc>
      </w:tr>
      <w:tr w:rsidR="00BF5725" w14:paraId="3A31BA65" w14:textId="77777777">
        <w:tc>
          <w:tcPr>
            <w:tcW w:w="0" w:type="auto"/>
          </w:tcPr>
          <w:p w14:paraId="2D7DE791" w14:textId="77777777" w:rsidR="00BF5725" w:rsidRDefault="00000000">
            <w:pPr>
              <w:pStyle w:val="Compact"/>
            </w:pPr>
            <w:r>
              <w:rPr>
                <w:b/>
              </w:rPr>
              <w:t>3:7</w:t>
            </w:r>
          </w:p>
        </w:tc>
        <w:tc>
          <w:tcPr>
            <w:tcW w:w="0" w:type="auto"/>
          </w:tcPr>
          <w:p w14:paraId="52297FF7" w14:textId="77777777" w:rsidR="00BF5725" w:rsidRDefault="00000000">
            <w:pPr>
              <w:pStyle w:val="Compact"/>
            </w:pPr>
            <w:r>
              <w:t>Importer</w:t>
            </w:r>
          </w:p>
        </w:tc>
        <w:tc>
          <w:tcPr>
            <w:tcW w:w="0" w:type="auto"/>
          </w:tcPr>
          <w:p w14:paraId="1D1EFBDA" w14:textId="77777777" w:rsidR="00BF5725" w:rsidRDefault="00000000">
            <w:pPr>
              <w:pStyle w:val="Compact"/>
            </w:pPr>
            <w:r>
              <w:rPr>
                <w:b/>
              </w:rPr>
              <w:t>PARTIALLY COVERED</w:t>
            </w:r>
          </w:p>
        </w:tc>
        <w:tc>
          <w:tcPr>
            <w:tcW w:w="0" w:type="auto"/>
          </w:tcPr>
          <w:p w14:paraId="48B09ADC" w14:textId="77777777" w:rsidR="00BF5725" w:rsidRDefault="00000000">
            <w:pPr>
              <w:pStyle w:val="Compact"/>
            </w:pPr>
            <w:r>
              <w:rPr>
                <w:b/>
              </w:rPr>
              <w:t>Major expansion needed (9 examples, brand owner rules)</w:t>
            </w:r>
          </w:p>
        </w:tc>
      </w:tr>
      <w:tr w:rsidR="00BF5725" w14:paraId="00CCB93B" w14:textId="77777777">
        <w:tc>
          <w:tcPr>
            <w:tcW w:w="0" w:type="auto"/>
          </w:tcPr>
          <w:p w14:paraId="20C891AE" w14:textId="77777777" w:rsidR="00BF5725" w:rsidRDefault="00000000">
            <w:pPr>
              <w:pStyle w:val="Compact"/>
            </w:pPr>
            <w:r>
              <w:rPr>
                <w:b/>
              </w:rPr>
              <w:t>3:8</w:t>
            </w:r>
          </w:p>
        </w:tc>
        <w:tc>
          <w:tcPr>
            <w:tcW w:w="0" w:type="auto"/>
          </w:tcPr>
          <w:p w14:paraId="498983A5" w14:textId="77777777" w:rsidR="00BF5725" w:rsidRDefault="00000000">
            <w:pPr>
              <w:pStyle w:val="Compact"/>
            </w:pPr>
            <w:r>
              <w:t>First UK Owner</w:t>
            </w:r>
          </w:p>
        </w:tc>
        <w:tc>
          <w:tcPr>
            <w:tcW w:w="0" w:type="auto"/>
          </w:tcPr>
          <w:p w14:paraId="3B8C3D10" w14:textId="77777777" w:rsidR="00BF5725" w:rsidRDefault="00000000">
            <w:pPr>
              <w:pStyle w:val="Compact"/>
            </w:pPr>
            <w:r>
              <w:t>FULLY COVERED</w:t>
            </w:r>
          </w:p>
        </w:tc>
        <w:tc>
          <w:tcPr>
            <w:tcW w:w="0" w:type="auto"/>
          </w:tcPr>
          <w:p w14:paraId="0E0F6CC7" w14:textId="77777777" w:rsidR="00BF5725" w:rsidRDefault="00000000">
            <w:pPr>
              <w:pStyle w:val="Compact"/>
            </w:pPr>
            <w:r>
              <w:t>Add 2 worked examples</w:t>
            </w:r>
          </w:p>
        </w:tc>
      </w:tr>
      <w:tr w:rsidR="00BF5725" w14:paraId="5CAC6231" w14:textId="77777777">
        <w:tc>
          <w:tcPr>
            <w:tcW w:w="0" w:type="auto"/>
          </w:tcPr>
          <w:p w14:paraId="48EAC2FB" w14:textId="77777777" w:rsidR="00BF5725" w:rsidRDefault="00000000">
            <w:pPr>
              <w:pStyle w:val="Compact"/>
            </w:pPr>
            <w:r>
              <w:rPr>
                <w:b/>
              </w:rPr>
              <w:t>3:9</w:t>
            </w:r>
          </w:p>
        </w:tc>
        <w:tc>
          <w:tcPr>
            <w:tcW w:w="0" w:type="auto"/>
          </w:tcPr>
          <w:p w14:paraId="7146FA03" w14:textId="77777777" w:rsidR="00BF5725" w:rsidRDefault="00000000">
            <w:pPr>
              <w:pStyle w:val="Compact"/>
            </w:pPr>
            <w:r>
              <w:t>Online Marketplace</w:t>
            </w:r>
          </w:p>
        </w:tc>
        <w:tc>
          <w:tcPr>
            <w:tcW w:w="0" w:type="auto"/>
          </w:tcPr>
          <w:p w14:paraId="4AF240CC" w14:textId="77777777" w:rsidR="00BF5725" w:rsidRDefault="00000000">
            <w:pPr>
              <w:pStyle w:val="Compact"/>
            </w:pPr>
            <w:r>
              <w:t>FULLY COVERED</w:t>
            </w:r>
          </w:p>
        </w:tc>
        <w:tc>
          <w:tcPr>
            <w:tcW w:w="0" w:type="auto"/>
          </w:tcPr>
          <w:p w14:paraId="4AACA7C1" w14:textId="77777777" w:rsidR="00BF5725" w:rsidRDefault="00000000">
            <w:pPr>
              <w:pStyle w:val="Compact"/>
            </w:pPr>
            <w:r>
              <w:t>Minor clarifications</w:t>
            </w:r>
          </w:p>
        </w:tc>
      </w:tr>
      <w:tr w:rsidR="00BF5725" w14:paraId="4F1A3A53" w14:textId="77777777">
        <w:tc>
          <w:tcPr>
            <w:tcW w:w="0" w:type="auto"/>
          </w:tcPr>
          <w:p w14:paraId="5C3FCBCA" w14:textId="77777777" w:rsidR="00BF5725" w:rsidRDefault="00000000">
            <w:pPr>
              <w:pStyle w:val="Compact"/>
            </w:pPr>
            <w:r>
              <w:rPr>
                <w:b/>
              </w:rPr>
              <w:t>3:10</w:t>
            </w:r>
          </w:p>
        </w:tc>
        <w:tc>
          <w:tcPr>
            <w:tcW w:w="0" w:type="auto"/>
          </w:tcPr>
          <w:p w14:paraId="1679E3FF" w14:textId="77777777" w:rsidR="00BF5725" w:rsidRDefault="00000000">
            <w:pPr>
              <w:pStyle w:val="Compact"/>
            </w:pPr>
            <w:r>
              <w:t>Drink Containers</w:t>
            </w:r>
          </w:p>
        </w:tc>
        <w:tc>
          <w:tcPr>
            <w:tcW w:w="0" w:type="auto"/>
          </w:tcPr>
          <w:p w14:paraId="5D2C586B" w14:textId="77777777" w:rsidR="00BF5725" w:rsidRDefault="00000000">
            <w:pPr>
              <w:pStyle w:val="Compact"/>
            </w:pPr>
            <w:r>
              <w:t>FULLY COVERED</w:t>
            </w:r>
          </w:p>
        </w:tc>
        <w:tc>
          <w:tcPr>
            <w:tcW w:w="0" w:type="auto"/>
          </w:tcPr>
          <w:p w14:paraId="0948F636" w14:textId="77777777" w:rsidR="00BF5725" w:rsidRDefault="00000000">
            <w:pPr>
              <w:pStyle w:val="Compact"/>
            </w:pPr>
            <w:r>
              <w:t>Add table format + HDPE example</w:t>
            </w:r>
          </w:p>
        </w:tc>
      </w:tr>
    </w:tbl>
    <w:p w14:paraId="3C3C71A5" w14:textId="77777777" w:rsidR="00BF5725" w:rsidRDefault="00DD073B">
      <w:r>
        <w:rPr>
          <w:noProof/>
        </w:rPr>
        <w:pict w14:anchorId="33503243">
          <v:rect id="_x0000_i1035" alt="" style="width:468pt;height:.05pt;mso-width-percent:0;mso-height-percent:0;mso-width-percent:0;mso-height-percent:0" o:hralign="center" o:hrstd="t" o:hr="t"/>
        </w:pict>
      </w:r>
    </w:p>
    <w:p w14:paraId="75E0AB91" w14:textId="77777777" w:rsidR="00BF5725" w:rsidRDefault="00000000">
      <w:pPr>
        <w:pStyle w:val="Heading2"/>
      </w:pPr>
      <w:bookmarkStart w:id="3" w:name="detailed-analysis"/>
      <w:r>
        <w:t>Detailed Analysis</w:t>
      </w:r>
      <w:bookmarkEnd w:id="3"/>
    </w:p>
    <w:p w14:paraId="4722D7B4" w14:textId="77777777" w:rsidR="00BF5725" w:rsidRDefault="00000000">
      <w:pPr>
        <w:pStyle w:val="Heading3"/>
      </w:pPr>
      <w:bookmarkStart w:id="4" w:name="X61007d25d08db703c1bf17e679e1816aad7ac32"/>
      <w:r>
        <w:t>SECTION 3:1: HOUSEHOLD PACKAGING (Lines 689-711)</w:t>
      </w:r>
      <w:bookmarkEnd w:id="4"/>
    </w:p>
    <w:p w14:paraId="1EBA022A" w14:textId="77777777" w:rsidR="00BF5725" w:rsidRDefault="00000000">
      <w:pPr>
        <w:pStyle w:val="FirstParagraph"/>
      </w:pPr>
      <w:r>
        <w:rPr>
          <w:b/>
        </w:rPr>
        <w:t>Topic:</w:t>
      </w:r>
      <w:r>
        <w:t xml:space="preserve"> How to determine whether packaging is household or non-household. All secondary/tertiary = non-household. Primary/shipment = household unless meets two tests.</w:t>
      </w:r>
    </w:p>
    <w:p w14:paraId="60F1BCB4" w14:textId="77777777" w:rsidR="00BF5725" w:rsidRDefault="00000000">
      <w:pPr>
        <w:pStyle w:val="BodyText"/>
      </w:pPr>
      <w:r>
        <w:rPr>
          <w:b/>
        </w:rPr>
        <w:t>Status:</w:t>
      </w:r>
      <w:r>
        <w:t xml:space="preserve"> FULLY COVERED in “Household and non-household.md”</w:t>
      </w:r>
    </w:p>
    <w:p w14:paraId="34E12F1E" w14:textId="77777777" w:rsidR="00BF5725" w:rsidRDefault="00000000">
      <w:pPr>
        <w:pStyle w:val="BodyText"/>
      </w:pPr>
      <w:r>
        <w:rPr>
          <w:b/>
        </w:rPr>
        <w:t>Gaps:</w:t>
      </w:r>
      <w:r>
        <w:t xml:space="preserve"> - Winery examples (wine by glass vs by bottle) NOT in existing guidance - Wholesaler scenario (wine to pub) NOT in existing guidance - Decision tree (Appendix 1) not included in existing guidance</w:t>
      </w:r>
    </w:p>
    <w:p w14:paraId="3DD950B0" w14:textId="77777777" w:rsidR="00BF5725" w:rsidRDefault="00000000">
      <w:pPr>
        <w:pStyle w:val="BodyText"/>
      </w:pPr>
      <w:r>
        <w:rPr>
          <w:b/>
        </w:rPr>
        <w:t>Conflicts:</w:t>
      </w:r>
      <w:r>
        <w:t xml:space="preserve"> None</w:t>
      </w:r>
    </w:p>
    <w:p w14:paraId="54F95205" w14:textId="77777777" w:rsidR="00BF5725" w:rsidRDefault="00000000">
      <w:pPr>
        <w:pStyle w:val="BodyText"/>
      </w:pPr>
      <w:r>
        <w:rPr>
          <w:b/>
        </w:rPr>
        <w:t>Recommendation:</w:t>
      </w:r>
      <w:r>
        <w:t xml:space="preserve"> Absorb examples into existing guidance</w:t>
      </w:r>
    </w:p>
    <w:p w14:paraId="7BCC5ABC" w14:textId="77777777" w:rsidR="00BF5725" w:rsidRDefault="00DD073B">
      <w:r>
        <w:rPr>
          <w:noProof/>
        </w:rPr>
        <w:pict w14:anchorId="368D3138">
          <v:rect id="_x0000_i1034" alt="" style="width:468pt;height:.05pt;mso-width-percent:0;mso-height-percent:0;mso-width-percent:0;mso-height-percent:0" o:hralign="center" o:hrstd="t" o:hr="t"/>
        </w:pict>
      </w:r>
    </w:p>
    <w:p w14:paraId="69C1E517" w14:textId="77777777" w:rsidR="00BF5725" w:rsidRDefault="00000000">
      <w:pPr>
        <w:pStyle w:val="Heading3"/>
      </w:pPr>
      <w:bookmarkStart w:id="5" w:name="section-32-supply-lines-715-763"/>
      <w:r>
        <w:t>SECTION 3:2: SUPPLY (Lines 715-763)</w:t>
      </w:r>
      <w:bookmarkEnd w:id="5"/>
    </w:p>
    <w:p w14:paraId="4E7E9ADE" w14:textId="77777777" w:rsidR="00BF5725" w:rsidRDefault="00000000">
      <w:pPr>
        <w:pStyle w:val="FirstParagraph"/>
      </w:pPr>
      <w:r>
        <w:rPr>
          <w:b/>
        </w:rPr>
        <w:t>Topic:</w:t>
      </w:r>
      <w:r>
        <w:t xml:space="preserve"> Specific supply scenarios: sale or return, maintenance/repair, delivery/installation, branded packaging supply rules.</w:t>
      </w:r>
    </w:p>
    <w:p w14:paraId="6A08059F" w14:textId="77777777" w:rsidR="00BF5725" w:rsidRDefault="00000000">
      <w:pPr>
        <w:pStyle w:val="BodyText"/>
      </w:pPr>
      <w:r>
        <w:rPr>
          <w:b/>
        </w:rPr>
        <w:t>Status:</w:t>
      </w:r>
      <w:r>
        <w:t xml:space="preserve"> PARTIALLY COVERED — Key scenarios missing</w:t>
      </w:r>
    </w:p>
    <w:p w14:paraId="50CC8FD5" w14:textId="77777777" w:rsidR="00BF5725" w:rsidRDefault="00000000">
      <w:pPr>
        <w:pStyle w:val="BodyText"/>
      </w:pPr>
      <w:r>
        <w:rPr>
          <w:b/>
        </w:rPr>
        <w:t>Gaps:</w:t>
      </w:r>
      <w:r>
        <w:t xml:space="preserve"> 1. </w:t>
      </w:r>
      <w:r>
        <w:rPr>
          <w:b/>
        </w:rPr>
        <w:t>Sale or Return (Lines 717-719):</w:t>
      </w:r>
      <w:r>
        <w:t xml:space="preserve"> Rules on returned goods, reselling in original packaging — NOT FOUND 2. </w:t>
      </w:r>
      <w:r>
        <w:rPr>
          <w:b/>
        </w:rPr>
        <w:t>Maintenance/Repair Services (Lines 721-725):</w:t>
      </w:r>
      <w:r>
        <w:t xml:space="preserve"> Garage as final user, responsibility rules — NOT FOUND 3. </w:t>
      </w:r>
      <w:r>
        <w:rPr>
          <w:b/>
        </w:rPr>
        <w:t>Delivery/Installation Services (Lines 727-751):</w:t>
      </w:r>
      <w:r>
        <w:t xml:space="preserve"> - Distinguishing packaging removal during delivery vs installation - 5 specific examples (alarm systems, carpets/kitchens, plug-in appliances, sofa delivery, flat-pack assembly) — NOT FOUND 4. </w:t>
      </w:r>
      <w:r>
        <w:rPr>
          <w:b/>
        </w:rPr>
        <w:t>Branded Packaging Supply (Lines 753-763):</w:t>
      </w:r>
      <w:r>
        <w:t xml:space="preserve"> Brand owner deemed to have supplied even if they don’t make supply — NOT explicitly stated</w:t>
      </w:r>
    </w:p>
    <w:p w14:paraId="52B6CDDF" w14:textId="77777777" w:rsidR="00BF5725" w:rsidRDefault="00000000">
      <w:pPr>
        <w:pStyle w:val="BodyText"/>
      </w:pPr>
      <w:r>
        <w:rPr>
          <w:b/>
        </w:rPr>
        <w:t>Conflicts:</w:t>
      </w:r>
      <w:r>
        <w:t xml:space="preserve"> None (existing guidance less detailed)</w:t>
      </w:r>
    </w:p>
    <w:p w14:paraId="4A04C8A4" w14:textId="77777777" w:rsidR="00BF5725" w:rsidRDefault="00000000">
      <w:pPr>
        <w:pStyle w:val="BodyText"/>
      </w:pPr>
      <w:r>
        <w:rPr>
          <w:b/>
        </w:rPr>
        <w:t>Recommendation:</w:t>
      </w:r>
      <w:r>
        <w:t xml:space="preserve"> Standalone page or major expansion needed</w:t>
      </w:r>
    </w:p>
    <w:p w14:paraId="3492133F" w14:textId="77777777" w:rsidR="00BF5725" w:rsidRDefault="00DD073B">
      <w:r>
        <w:rPr>
          <w:noProof/>
        </w:rPr>
        <w:pict w14:anchorId="38D0E56C">
          <v:rect id="_x0000_i1033" alt="" style="width:468pt;height:.05pt;mso-width-percent:0;mso-height-percent:0;mso-width-percent:0;mso-height-percent:0" o:hralign="center" o:hrstd="t" o:hr="t"/>
        </w:pict>
      </w:r>
    </w:p>
    <w:p w14:paraId="62F91F4B" w14:textId="77777777" w:rsidR="00BF5725" w:rsidRDefault="00000000">
      <w:pPr>
        <w:pStyle w:val="Heading3"/>
      </w:pPr>
      <w:bookmarkStart w:id="6" w:name="X613df8afcb5a174d58b40e63177c2cb7245609a"/>
      <w:r>
        <w:t>SECTION 3:3: ESTABLISHED IN THE UK (Lines 765-783)</w:t>
      </w:r>
      <w:bookmarkEnd w:id="6"/>
    </w:p>
    <w:p w14:paraId="0A325E0F" w14:textId="77777777" w:rsidR="00BF5725" w:rsidRDefault="00000000">
      <w:pPr>
        <w:pStyle w:val="FirstParagraph"/>
      </w:pPr>
      <w:r>
        <w:rPr>
          <w:b/>
        </w:rPr>
        <w:t>Topic:</w:t>
      </w:r>
      <w:r>
        <w:t xml:space="preserve"> Definition of “established in UK” including branches, PO boxes, warehouses. Clarifies parent/subsidiary relationships and overseas producer obligations.</w:t>
      </w:r>
    </w:p>
    <w:p w14:paraId="494F28CF" w14:textId="77777777" w:rsidR="00BF5725" w:rsidRDefault="00000000">
      <w:pPr>
        <w:pStyle w:val="BodyText"/>
      </w:pPr>
      <w:r>
        <w:rPr>
          <w:b/>
        </w:rPr>
        <w:t>Status:</w:t>
      </w:r>
      <w:r>
        <w:t xml:space="preserve"> FULLY COVERED in “what to collect.md” (lines 62-74)</w:t>
      </w:r>
    </w:p>
    <w:p w14:paraId="7CDD7259" w14:textId="77777777" w:rsidR="00BF5725" w:rsidRDefault="00000000">
      <w:pPr>
        <w:pStyle w:val="BodyText"/>
      </w:pPr>
      <w:r>
        <w:rPr>
          <w:b/>
        </w:rPr>
        <w:t>Gaps:</w:t>
      </w:r>
      <w:r>
        <w:t xml:space="preserve"> - Subsidiary clarification: “parent company subsidiaries do not constitute parent’s UK presence” — NOT explicitly stated</w:t>
      </w:r>
    </w:p>
    <w:p w14:paraId="5678C8C7" w14:textId="77777777" w:rsidR="00BF5725" w:rsidRDefault="00000000">
      <w:pPr>
        <w:pStyle w:val="BodyText"/>
      </w:pPr>
      <w:r>
        <w:rPr>
          <w:b/>
        </w:rPr>
        <w:t>Conflicts:</w:t>
      </w:r>
      <w:r>
        <w:t xml:space="preserve"> None</w:t>
      </w:r>
    </w:p>
    <w:p w14:paraId="72BB4B4A" w14:textId="77777777" w:rsidR="00BF5725" w:rsidRDefault="00000000">
      <w:pPr>
        <w:pStyle w:val="BodyText"/>
      </w:pPr>
      <w:r>
        <w:rPr>
          <w:b/>
        </w:rPr>
        <w:t>Recommendation:</w:t>
      </w:r>
      <w:r>
        <w:t xml:space="preserve"> Minor absorption — add subsidiary clarification</w:t>
      </w:r>
    </w:p>
    <w:p w14:paraId="16443D49" w14:textId="77777777" w:rsidR="00BF5725" w:rsidRDefault="00DD073B">
      <w:r>
        <w:rPr>
          <w:noProof/>
        </w:rPr>
        <w:pict w14:anchorId="12B2ACF3">
          <v:rect id="_x0000_i1032" alt="" style="width:468pt;height:.05pt;mso-width-percent:0;mso-height-percent:0;mso-width-percent:0;mso-height-percent:0" o:hralign="center" o:hrstd="t" o:hr="t"/>
        </w:pict>
      </w:r>
    </w:p>
    <w:p w14:paraId="52EFE678" w14:textId="77777777" w:rsidR="00BF5725" w:rsidRDefault="00000000">
      <w:pPr>
        <w:pStyle w:val="Heading3"/>
      </w:pPr>
      <w:bookmarkStart w:id="7" w:name="X5df984ab4d80db8094c770631eae5775879f61a"/>
      <w:r>
        <w:t>SECTION 3:4: BRANDS AND BRAND OWNERS (Lines 785-813)</w:t>
      </w:r>
      <w:bookmarkEnd w:id="7"/>
    </w:p>
    <w:p w14:paraId="58697856" w14:textId="77777777" w:rsidR="00BF5725" w:rsidRDefault="00000000">
      <w:pPr>
        <w:pStyle w:val="FirstParagraph"/>
      </w:pPr>
      <w:r>
        <w:rPr>
          <w:b/>
        </w:rPr>
        <w:t>Topic:</w:t>
      </w:r>
      <w:r>
        <w:t xml:space="preserve"> Definition of “brand” including distinctive marks. Brand owner deemed to have supplied packaging bearing their brand. Overseas brand owner rules.</w:t>
      </w:r>
    </w:p>
    <w:p w14:paraId="613A66EA" w14:textId="77777777" w:rsidR="00BF5725" w:rsidRDefault="00000000">
      <w:pPr>
        <w:pStyle w:val="BodyText"/>
      </w:pPr>
      <w:r>
        <w:rPr>
          <w:b/>
        </w:rPr>
        <w:t>Status:</w:t>
      </w:r>
      <w:r>
        <w:t xml:space="preserve"> FULLY COVERED in “what to collect.md” (lines 126-175)</w:t>
      </w:r>
    </w:p>
    <w:p w14:paraId="188AF986" w14:textId="77777777" w:rsidR="00BF5725" w:rsidRDefault="00000000">
      <w:pPr>
        <w:pStyle w:val="BodyText"/>
      </w:pPr>
      <w:r>
        <w:rPr>
          <w:b/>
        </w:rPr>
        <w:t>Gaps:</w:t>
      </w:r>
      <w:r>
        <w:t xml:space="preserve"> - Distinctive mark definition (specific colours, markings exclusive to brand owner) — NOT provided in existing guidance - Overseas brand owner corporate group rule — NOT in existing guidance - UK company/overseas corporate group brand example — NOT in existing guidance</w:t>
      </w:r>
    </w:p>
    <w:p w14:paraId="26934D58" w14:textId="77777777" w:rsidR="00BF5725" w:rsidRDefault="00000000">
      <w:pPr>
        <w:pStyle w:val="BodyText"/>
      </w:pPr>
      <w:r>
        <w:rPr>
          <w:b/>
        </w:rPr>
        <w:t>Conflicts:</w:t>
      </w:r>
      <w:r>
        <w:t xml:space="preserve"> None</w:t>
      </w:r>
    </w:p>
    <w:p w14:paraId="7C0ADD44" w14:textId="77777777" w:rsidR="00BF5725" w:rsidRDefault="00000000">
      <w:pPr>
        <w:pStyle w:val="BodyText"/>
      </w:pPr>
      <w:r>
        <w:rPr>
          <w:b/>
        </w:rPr>
        <w:t>Recommendation:</w:t>
      </w:r>
      <w:r>
        <w:t xml:space="preserve"> Absorb distinctive mark definition and overseas group example</w:t>
      </w:r>
    </w:p>
    <w:p w14:paraId="47D771AA" w14:textId="77777777" w:rsidR="00BF5725" w:rsidRDefault="00DD073B">
      <w:r>
        <w:rPr>
          <w:noProof/>
        </w:rPr>
        <w:pict w14:anchorId="40BCF0FA">
          <v:rect id="_x0000_i1031" alt="" style="width:468pt;height:.05pt;mso-width-percent:0;mso-height-percent:0;mso-width-percent:0;mso-height-percent:0" o:hralign="center" o:hrstd="t" o:hr="t"/>
        </w:pict>
      </w:r>
    </w:p>
    <w:p w14:paraId="2F305941" w14:textId="77777777" w:rsidR="00BF5725" w:rsidRDefault="00000000">
      <w:pPr>
        <w:pStyle w:val="Heading3"/>
      </w:pPr>
      <w:bookmarkStart w:id="8" w:name="X98b5ea7b781c0efe433ad778ffcf9b977044de0"/>
      <w:r>
        <w:t>SECTION 3:5: MULTI-BRANDED PACKAGING (Lines 815-868)</w:t>
      </w:r>
      <w:bookmarkEnd w:id="8"/>
    </w:p>
    <w:p w14:paraId="6CDCEBED" w14:textId="77777777" w:rsidR="00BF5725" w:rsidRDefault="00000000">
      <w:pPr>
        <w:pStyle w:val="FirstParagraph"/>
      </w:pPr>
      <w:r>
        <w:rPr>
          <w:b/>
        </w:rPr>
        <w:t>Topic:</w:t>
      </w:r>
      <w:r>
        <w:t xml:space="preserve"> When packaging bears multiple brands, first supplier of filled packaging is obligated. 7+ detailed worked examples.</w:t>
      </w:r>
    </w:p>
    <w:p w14:paraId="7253D0B7" w14:textId="77777777" w:rsidR="00BF5725" w:rsidRDefault="00000000">
      <w:pPr>
        <w:pStyle w:val="BodyText"/>
      </w:pPr>
      <w:r>
        <w:rPr>
          <w:b/>
        </w:rPr>
        <w:t>Status:</w:t>
      </w:r>
      <w:r>
        <w:t xml:space="preserve"> PARTIALLY COVERED — Basic principle covered, examples missing</w:t>
      </w:r>
    </w:p>
    <w:p w14:paraId="147AF2CC" w14:textId="77777777" w:rsidR="00BF5725" w:rsidRDefault="00000000">
      <w:pPr>
        <w:pStyle w:val="BodyText"/>
      </w:pPr>
      <w:r>
        <w:rPr>
          <w:b/>
        </w:rPr>
        <w:t>Gaps:</w:t>
      </w:r>
      <w:r>
        <w:t xml:space="preserve"> - 7 detailed worked examples NOT in existing guidance: - Crisp manufacturer co-branding - Food manufacturer licensed by supermarket (dual branding front/back) - Co-branded packaging to wholesalers - Retailer-owned empty packaging - Cheesemaker/retailer with small producer rules - Potted plant grower with multiple brand levels - Hamper with detailed 6-row table - Plant breeder’s rights clarification — NOT in existing guidance</w:t>
      </w:r>
    </w:p>
    <w:p w14:paraId="4BC12864" w14:textId="77777777" w:rsidR="00BF5725" w:rsidRDefault="00000000">
      <w:pPr>
        <w:pStyle w:val="BodyText"/>
      </w:pPr>
      <w:r>
        <w:rPr>
          <w:b/>
        </w:rPr>
        <w:t>Conflicts:</w:t>
      </w:r>
      <w:r>
        <w:t xml:space="preserve"> None</w:t>
      </w:r>
    </w:p>
    <w:p w14:paraId="4C376B94" w14:textId="77777777" w:rsidR="00BF5725" w:rsidRDefault="00000000">
      <w:pPr>
        <w:pStyle w:val="BodyText"/>
      </w:pPr>
      <w:r>
        <w:rPr>
          <w:b/>
        </w:rPr>
        <w:t>Recommendation:</w:t>
      </w:r>
      <w:r>
        <w:t xml:space="preserve"> Standalone page with all worked examples needed</w:t>
      </w:r>
    </w:p>
    <w:p w14:paraId="0526F226" w14:textId="77777777" w:rsidR="00BF5725" w:rsidRDefault="00DD073B">
      <w:r>
        <w:rPr>
          <w:noProof/>
        </w:rPr>
        <w:pict w14:anchorId="7C3B5B63">
          <v:rect id="_x0000_i1030" alt="" style="width:468pt;height:.05pt;mso-width-percent:0;mso-height-percent:0;mso-width-percent:0;mso-height-percent:0" o:hralign="center" o:hrstd="t" o:hr="t"/>
        </w:pict>
      </w:r>
    </w:p>
    <w:p w14:paraId="42244610" w14:textId="77777777" w:rsidR="00BF5725" w:rsidRDefault="00000000">
      <w:pPr>
        <w:pStyle w:val="Heading3"/>
      </w:pPr>
      <w:bookmarkStart w:id="9" w:name="Xe50a0ca54d08c7c5628cb6678846d56b517582c"/>
      <w:r>
        <w:t>SECTION 3:6: INTERPRETATION OF BRANDED PACKAGING (Lines 870-905)</w:t>
      </w:r>
      <w:bookmarkEnd w:id="9"/>
    </w:p>
    <w:p w14:paraId="04A0BEBD" w14:textId="77777777" w:rsidR="00BF5725" w:rsidRDefault="00000000">
      <w:pPr>
        <w:pStyle w:val="FirstParagraph"/>
      </w:pPr>
      <w:r>
        <w:rPr>
          <w:b/>
        </w:rPr>
        <w:t>Topic:</w:t>
      </w:r>
      <w:r>
        <w:t xml:space="preserve"> Assessing whether packaging is branded must be done SEPARATELY for each packaging type (primary/secondary/tertiary/shipment). Worked example with beans on pallet.</w:t>
      </w:r>
    </w:p>
    <w:p w14:paraId="25C213DB" w14:textId="77777777" w:rsidR="00BF5725" w:rsidRDefault="00000000">
      <w:pPr>
        <w:pStyle w:val="BodyText"/>
      </w:pPr>
      <w:r>
        <w:rPr>
          <w:b/>
        </w:rPr>
        <w:t>Status:</w:t>
      </w:r>
      <w:r>
        <w:t xml:space="preserve"> NOT COVERED — Entire topic absent from existing guidance</w:t>
      </w:r>
    </w:p>
    <w:p w14:paraId="21807F11" w14:textId="77777777" w:rsidR="00BF5725" w:rsidRDefault="00000000">
      <w:pPr>
        <w:pStyle w:val="BodyText"/>
      </w:pPr>
      <w:r>
        <w:rPr>
          <w:b/>
        </w:rPr>
        <w:t>Gaps:</w:t>
      </w:r>
      <w:r>
        <w:t xml:space="preserve"> - Entire concept missing: assess branding by packaging type layer - Worked example (branded tins on branded tray, unbranded shrink wrap, unbranded pallet) — NOT in existing guidance - Table showing assessment for each layer — NOT in existing guidance - Rule that visible brands through clear wrap don’t make tertiary branded — NOT in existing guidance</w:t>
      </w:r>
    </w:p>
    <w:p w14:paraId="59978617" w14:textId="77777777" w:rsidR="00BF5725" w:rsidRDefault="00000000">
      <w:pPr>
        <w:pStyle w:val="BodyText"/>
      </w:pPr>
      <w:r>
        <w:rPr>
          <w:b/>
        </w:rPr>
        <w:t>Conflicts:</w:t>
      </w:r>
      <w:r>
        <w:t xml:space="preserve"> None (topic not covered)</w:t>
      </w:r>
    </w:p>
    <w:p w14:paraId="2500152C" w14:textId="77777777" w:rsidR="00BF5725" w:rsidRDefault="00000000">
      <w:pPr>
        <w:pStyle w:val="BodyText"/>
      </w:pPr>
      <w:r>
        <w:rPr>
          <w:b/>
        </w:rPr>
        <w:t>Recommendation:</w:t>
      </w:r>
      <w:r>
        <w:t xml:space="preserve"> Create new page with full worked example and table</w:t>
      </w:r>
    </w:p>
    <w:p w14:paraId="0F38F348" w14:textId="77777777" w:rsidR="00BF5725" w:rsidRDefault="00DD073B">
      <w:r>
        <w:rPr>
          <w:noProof/>
        </w:rPr>
        <w:pict w14:anchorId="43E989E5">
          <v:rect id="_x0000_i1029" alt="" style="width:468pt;height:.05pt;mso-width-percent:0;mso-height-percent:0;mso-width-percent:0;mso-height-percent:0" o:hralign="center" o:hrstd="t" o:hr="t"/>
        </w:pict>
      </w:r>
    </w:p>
    <w:p w14:paraId="16D9D0C6" w14:textId="77777777" w:rsidR="00BF5725" w:rsidRDefault="00000000">
      <w:pPr>
        <w:pStyle w:val="Heading3"/>
      </w:pPr>
      <w:bookmarkStart w:id="10" w:name="section-37-importer-lines-907-967"/>
      <w:r>
        <w:t>SECTION 3:7: IMPORTER (Lines 907-967)</w:t>
      </w:r>
      <w:bookmarkEnd w:id="10"/>
    </w:p>
    <w:p w14:paraId="3D2AF793" w14:textId="77777777" w:rsidR="00BF5725" w:rsidRDefault="00000000">
      <w:pPr>
        <w:pStyle w:val="FirstParagraph"/>
      </w:pPr>
      <w:r>
        <w:rPr>
          <w:b/>
        </w:rPr>
        <w:t>Topic:</w:t>
      </w:r>
      <w:r>
        <w:t xml:space="preserve"> Importer obligations, what must be reported, 9 detailed examples, brand owner responsibility for imports, US Air Force bases, bonded warehouses.</w:t>
      </w:r>
    </w:p>
    <w:p w14:paraId="34688C5C" w14:textId="77777777" w:rsidR="00BF5725" w:rsidRDefault="00000000">
      <w:pPr>
        <w:pStyle w:val="BodyText"/>
      </w:pPr>
      <w:r>
        <w:rPr>
          <w:b/>
        </w:rPr>
        <w:t>Status:</w:t>
      </w:r>
      <w:r>
        <w:t xml:space="preserve"> PARTIALLY COVERED in “what to collect.md” (lines 176-217)</w:t>
      </w:r>
    </w:p>
    <w:p w14:paraId="29DD639D" w14:textId="77777777" w:rsidR="00BF5725" w:rsidRDefault="00000000">
      <w:pPr>
        <w:pStyle w:val="BodyText"/>
      </w:pPr>
      <w:r>
        <w:rPr>
          <w:b/>
        </w:rPr>
        <w:t>Gaps:</w:t>
      </w:r>
      <w:r>
        <w:t xml:space="preserve"> 1. </w:t>
      </w:r>
      <w:r>
        <w:rPr>
          <w:b/>
        </w:rPr>
        <w:t>9 detailed importer examples</w:t>
      </w:r>
      <w:r>
        <w:t xml:space="preserve"> — Only 2 brief scenarios in existing guidance. Missing: - Unfilled branded packaging discarded before supply - Empty unbranded cardboard boxes, some discarded - UK buyer from overseas wholesaler not established in UK - UK buyer direct from overseas supplier - UK buyer from UK importer who took ownership - Overseas company with UK sales office - Supermarket using third-party logistics - Two more scenarios</w:t>
      </w:r>
    </w:p>
    <w:p w14:paraId="2D434EBC" w14:textId="77777777" w:rsidR="00BF5725" w:rsidRDefault="00000000">
      <w:pPr>
        <w:pStyle w:val="Compact"/>
        <w:numPr>
          <w:ilvl w:val="0"/>
          <w:numId w:val="2"/>
        </w:numPr>
      </w:pPr>
      <w:r>
        <w:rPr>
          <w:b/>
        </w:rPr>
        <w:t>Brand owner responsibility for import (Lines 941-957):</w:t>
      </w:r>
    </w:p>
    <w:p w14:paraId="0A304DD4" w14:textId="77777777" w:rsidR="00BF5725" w:rsidRDefault="00000000">
      <w:pPr>
        <w:pStyle w:val="Compact"/>
        <w:numPr>
          <w:ilvl w:val="1"/>
          <w:numId w:val="3"/>
        </w:numPr>
      </w:pPr>
      <w:r>
        <w:t>“Brand owner caused the import” concept — NOT in existing guidance</w:t>
      </w:r>
    </w:p>
    <w:p w14:paraId="7A267516" w14:textId="77777777" w:rsidR="00BF5725" w:rsidRDefault="00000000">
      <w:pPr>
        <w:pStyle w:val="Compact"/>
        <w:numPr>
          <w:ilvl w:val="1"/>
          <w:numId w:val="3"/>
        </w:numPr>
      </w:pPr>
      <w:r>
        <w:t>Third-party import arrangements — NOT addressed</w:t>
      </w:r>
    </w:p>
    <w:p w14:paraId="3066BA3D" w14:textId="77777777" w:rsidR="00BF5725" w:rsidRDefault="00000000">
      <w:pPr>
        <w:pStyle w:val="Compact"/>
        <w:numPr>
          <w:ilvl w:val="1"/>
          <w:numId w:val="3"/>
        </w:numPr>
      </w:pPr>
      <w:r>
        <w:t>Small producer brand owner rules — briefly mentioned but not with clarity</w:t>
      </w:r>
    </w:p>
    <w:p w14:paraId="7003898E" w14:textId="77777777" w:rsidR="00BF5725" w:rsidRDefault="00000000">
      <w:pPr>
        <w:pStyle w:val="Compact"/>
        <w:numPr>
          <w:ilvl w:val="0"/>
          <w:numId w:val="2"/>
        </w:numPr>
      </w:pPr>
      <w:r>
        <w:rPr>
          <w:b/>
        </w:rPr>
        <w:t>US Air Force bases (Lines 959-961):</w:t>
      </w:r>
      <w:r>
        <w:t xml:space="preserve"> NOT in existing guidance</w:t>
      </w:r>
    </w:p>
    <w:p w14:paraId="52C0ECCB" w14:textId="77777777" w:rsidR="00BF5725" w:rsidRDefault="00000000">
      <w:pPr>
        <w:pStyle w:val="Compact"/>
        <w:numPr>
          <w:ilvl w:val="0"/>
          <w:numId w:val="2"/>
        </w:numPr>
      </w:pPr>
      <w:r>
        <w:rPr>
          <w:b/>
        </w:rPr>
        <w:t>Bonded warehouses (Lines 963-965):</w:t>
      </w:r>
      <w:r>
        <w:t xml:space="preserve"> NOT in existing guidance</w:t>
      </w:r>
    </w:p>
    <w:p w14:paraId="4E490A47" w14:textId="77777777" w:rsidR="00BF5725" w:rsidRDefault="00000000">
      <w:pPr>
        <w:pStyle w:val="Compact"/>
        <w:numPr>
          <w:ilvl w:val="0"/>
          <w:numId w:val="2"/>
        </w:numPr>
      </w:pPr>
      <w:r>
        <w:rPr>
          <w:b/>
        </w:rPr>
        <w:t>Appendix 2 (supply routes for imported packaging):</w:t>
      </w:r>
      <w:r>
        <w:t xml:space="preserve"> NOT available</w:t>
      </w:r>
    </w:p>
    <w:p w14:paraId="631C1A29" w14:textId="77777777" w:rsidR="00BF5725" w:rsidRDefault="00000000">
      <w:pPr>
        <w:pStyle w:val="FirstParagraph"/>
      </w:pPr>
      <w:r>
        <w:rPr>
          <w:b/>
        </w:rPr>
        <w:t>Conflicts:</w:t>
      </w:r>
      <w:r>
        <w:t xml:space="preserve"> None</w:t>
      </w:r>
    </w:p>
    <w:p w14:paraId="482484F7" w14:textId="77777777" w:rsidR="00BF5725" w:rsidRDefault="00000000">
      <w:pPr>
        <w:pStyle w:val="BodyText"/>
      </w:pPr>
      <w:r>
        <w:rPr>
          <w:b/>
        </w:rPr>
        <w:t>Recommendation:</w:t>
      </w:r>
      <w:r>
        <w:t xml:space="preserve"> Major expansion with 9 examples and brand owner responsibility section</w:t>
      </w:r>
    </w:p>
    <w:p w14:paraId="3C0DCB0D" w14:textId="77777777" w:rsidR="00BF5725" w:rsidRDefault="00DD073B">
      <w:r>
        <w:rPr>
          <w:noProof/>
        </w:rPr>
        <w:pict w14:anchorId="2540CD28">
          <v:rect id="_x0000_i1028" alt="" style="width:468pt;height:.05pt;mso-width-percent:0;mso-height-percent:0;mso-width-percent:0;mso-height-percent:0" o:hralign="center" o:hrstd="t" o:hr="t"/>
        </w:pict>
      </w:r>
    </w:p>
    <w:p w14:paraId="78338AF6" w14:textId="77777777" w:rsidR="00BF5725" w:rsidRDefault="00000000">
      <w:pPr>
        <w:pStyle w:val="Heading3"/>
      </w:pPr>
      <w:bookmarkStart w:id="11" w:name="section-38-first-uk-owner-lines-969-978"/>
      <w:r>
        <w:t>SECTION 3:8: FIRST UK OWNER (Lines 969-978)</w:t>
      </w:r>
      <w:bookmarkEnd w:id="11"/>
    </w:p>
    <w:p w14:paraId="6C66E604" w14:textId="77777777" w:rsidR="00BF5725" w:rsidRDefault="00000000">
      <w:pPr>
        <w:pStyle w:val="FirstParagraph"/>
      </w:pPr>
      <w:r>
        <w:rPr>
          <w:b/>
        </w:rPr>
        <w:t>Topic:</w:t>
      </w:r>
      <w:r>
        <w:t xml:space="preserve"> When UK packaging is packed/filled on behalf of overseas person, first UK owner reports as importer. Two examples.</w:t>
      </w:r>
    </w:p>
    <w:p w14:paraId="429321D0" w14:textId="77777777" w:rsidR="00BF5725" w:rsidRDefault="00000000">
      <w:pPr>
        <w:pStyle w:val="BodyText"/>
      </w:pPr>
      <w:r>
        <w:rPr>
          <w:b/>
        </w:rPr>
        <w:t>Status:</w:t>
      </w:r>
      <w:r>
        <w:t xml:space="preserve"> FULLY COVERED in “what to collect.md” (lines 207-217)</w:t>
      </w:r>
    </w:p>
    <w:p w14:paraId="2184F3DE" w14:textId="77777777" w:rsidR="00BF5725" w:rsidRDefault="00000000">
      <w:pPr>
        <w:pStyle w:val="BodyText"/>
      </w:pPr>
      <w:r>
        <w:rPr>
          <w:b/>
        </w:rPr>
        <w:t>Gaps:</w:t>
      </w:r>
      <w:r>
        <w:t xml:space="preserve"> - Overseas company/UK toll manufacturer example (overseas retains ownership) — different from existing example - French wine contract bottling example (supermarket as first UK owner) — NOT in existing guidance</w:t>
      </w:r>
    </w:p>
    <w:p w14:paraId="048C542F" w14:textId="77777777" w:rsidR="00BF5725" w:rsidRDefault="00000000">
      <w:pPr>
        <w:pStyle w:val="BodyText"/>
      </w:pPr>
      <w:r>
        <w:rPr>
          <w:b/>
        </w:rPr>
        <w:t>Conflicts:</w:t>
      </w:r>
      <w:r>
        <w:t xml:space="preserve"> None</w:t>
      </w:r>
    </w:p>
    <w:p w14:paraId="16863BF6" w14:textId="77777777" w:rsidR="00BF5725" w:rsidRDefault="00000000">
      <w:pPr>
        <w:pStyle w:val="BodyText"/>
      </w:pPr>
      <w:r>
        <w:rPr>
          <w:b/>
        </w:rPr>
        <w:t>Recommendation:</w:t>
      </w:r>
      <w:r>
        <w:t xml:space="preserve"> Absorb 2 additional worked examples</w:t>
      </w:r>
    </w:p>
    <w:p w14:paraId="36B6F847" w14:textId="77777777" w:rsidR="00BF5725" w:rsidRDefault="00DD073B">
      <w:r>
        <w:rPr>
          <w:noProof/>
        </w:rPr>
        <w:pict w14:anchorId="76C05D5A">
          <v:rect id="_x0000_i1027" alt="" style="width:468pt;height:.05pt;mso-width-percent:0;mso-height-percent:0;mso-width-percent:0;mso-height-percent:0" o:hralign="center" o:hrstd="t" o:hr="t"/>
        </w:pict>
      </w:r>
    </w:p>
    <w:p w14:paraId="245F8034" w14:textId="77777777" w:rsidR="00BF5725" w:rsidRDefault="00000000">
      <w:pPr>
        <w:pStyle w:val="Heading3"/>
      </w:pPr>
      <w:bookmarkStart w:id="12" w:name="Xc9ebb41a15dcec4a100f4a0e77381562e2a8091"/>
      <w:r>
        <w:t>SECTION 3:9: ONLINE MARKETPLACE (Lines 981-993)</w:t>
      </w:r>
      <w:bookmarkEnd w:id="12"/>
    </w:p>
    <w:p w14:paraId="7EC61E82" w14:textId="77777777" w:rsidR="00BF5725" w:rsidRDefault="00000000">
      <w:pPr>
        <w:pStyle w:val="FirstParagraph"/>
      </w:pPr>
      <w:r>
        <w:rPr>
          <w:b/>
        </w:rPr>
        <w:t>Topic:</w:t>
      </w:r>
      <w:r>
        <w:t xml:space="preserve"> OMP definition, reporting rules for filled/unfilled packaging, data splitting exemption, multiple producer functions.</w:t>
      </w:r>
    </w:p>
    <w:p w14:paraId="118D5658" w14:textId="77777777" w:rsidR="00BF5725" w:rsidRDefault="00000000">
      <w:pPr>
        <w:pStyle w:val="BodyText"/>
      </w:pPr>
      <w:r>
        <w:rPr>
          <w:b/>
        </w:rPr>
        <w:t>Status:</w:t>
      </w:r>
      <w:r>
        <w:t xml:space="preserve"> FULLY COVERED in “what to collect.md” (lines 219-228)</w:t>
      </w:r>
    </w:p>
    <w:p w14:paraId="76361DD8" w14:textId="77777777" w:rsidR="00BF5725" w:rsidRDefault="00000000">
      <w:pPr>
        <w:pStyle w:val="BodyText"/>
      </w:pPr>
      <w:r>
        <w:rPr>
          <w:b/>
        </w:rPr>
        <w:t>Gaps:</w:t>
      </w:r>
      <w:r>
        <w:t xml:space="preserve"> - Data splitting exemption (OMPs don’t need to split by packaging type) — NOT explicitly stated - Multiple producer functions / non-double-reporting rule — NOT explicitly stated</w:t>
      </w:r>
    </w:p>
    <w:p w14:paraId="1523EA4C" w14:textId="77777777" w:rsidR="00BF5725" w:rsidRDefault="00000000">
      <w:pPr>
        <w:pStyle w:val="BodyText"/>
      </w:pPr>
      <w:r>
        <w:rPr>
          <w:b/>
        </w:rPr>
        <w:t>Conflicts:</w:t>
      </w:r>
      <w:r>
        <w:t xml:space="preserve"> None</w:t>
      </w:r>
    </w:p>
    <w:p w14:paraId="1DE01EA2" w14:textId="77777777" w:rsidR="00BF5725" w:rsidRDefault="00000000">
      <w:pPr>
        <w:pStyle w:val="BodyText"/>
      </w:pPr>
      <w:r>
        <w:rPr>
          <w:b/>
        </w:rPr>
        <w:t>Recommendation:</w:t>
      </w:r>
      <w:r>
        <w:t xml:space="preserve"> Minor absorption — add clarifications</w:t>
      </w:r>
    </w:p>
    <w:p w14:paraId="3A03E918" w14:textId="77777777" w:rsidR="00BF5725" w:rsidRDefault="00DD073B">
      <w:r>
        <w:rPr>
          <w:noProof/>
        </w:rPr>
        <w:pict w14:anchorId="036EA1F7">
          <v:rect id="_x0000_i1026" alt="" style="width:468pt;height:.05pt;mso-width-percent:0;mso-height-percent:0;mso-width-percent:0;mso-height-percent:0" o:hralign="center" o:hrstd="t" o:hr="t"/>
        </w:pict>
      </w:r>
    </w:p>
    <w:p w14:paraId="4312190E" w14:textId="77777777" w:rsidR="00BF5725" w:rsidRDefault="00000000">
      <w:pPr>
        <w:pStyle w:val="Heading3"/>
      </w:pPr>
      <w:bookmarkStart w:id="13" w:name="Xcc372b82a13250b53faabe6c54a3b0645b4fa0c"/>
      <w:r>
        <w:t>SECTION 3:10: DRINK CONTAINERS (Lines 995-1041)</w:t>
      </w:r>
      <w:bookmarkEnd w:id="13"/>
    </w:p>
    <w:p w14:paraId="28581809" w14:textId="77777777" w:rsidR="00BF5725" w:rsidRDefault="00000000">
      <w:pPr>
        <w:pStyle w:val="FirstParagraph"/>
      </w:pPr>
      <w:r>
        <w:rPr>
          <w:b/>
        </w:rPr>
        <w:t>Topic:</w:t>
      </w:r>
      <w:r>
        <w:t xml:space="preserve"> Single-use drink container criteria, HDPE milk bottles, detailed table comparing glass vs PET/steel/aluminium reporting rules.</w:t>
      </w:r>
    </w:p>
    <w:p w14:paraId="569EE4F7" w14:textId="77777777" w:rsidR="00BF5725" w:rsidRDefault="00000000">
      <w:pPr>
        <w:pStyle w:val="BodyText"/>
      </w:pPr>
      <w:r>
        <w:rPr>
          <w:b/>
        </w:rPr>
        <w:t>Status:</w:t>
      </w:r>
      <w:r>
        <w:t xml:space="preserve"> FULLY COVERED in “what to collect.md” (lines 282-313)</w:t>
      </w:r>
    </w:p>
    <w:p w14:paraId="28C2AD73" w14:textId="77777777" w:rsidR="00BF5725" w:rsidRDefault="00000000">
      <w:pPr>
        <w:pStyle w:val="BodyText"/>
      </w:pPr>
      <w:r>
        <w:rPr>
          <w:b/>
        </w:rPr>
        <w:t>Gaps:</w:t>
      </w:r>
      <w:r>
        <w:t xml:space="preserve"> - Table format (glass vs metal side-by-side comparison) — existing guidance uses paragraph format - HDPE milk bottle example — implied but NOT explicitly stated</w:t>
      </w:r>
    </w:p>
    <w:p w14:paraId="4F84E6D3" w14:textId="77777777" w:rsidR="00BF5725" w:rsidRDefault="00000000">
      <w:pPr>
        <w:pStyle w:val="BodyText"/>
      </w:pPr>
      <w:r>
        <w:rPr>
          <w:b/>
        </w:rPr>
        <w:t>Conflicts:</w:t>
      </w:r>
      <w:r>
        <w:t xml:space="preserve"> None</w:t>
      </w:r>
    </w:p>
    <w:p w14:paraId="38980285" w14:textId="77777777" w:rsidR="00BF5725" w:rsidRDefault="00000000">
      <w:pPr>
        <w:pStyle w:val="BodyText"/>
      </w:pPr>
      <w:r>
        <w:rPr>
          <w:b/>
        </w:rPr>
        <w:t>Recommendation:</w:t>
      </w:r>
      <w:r>
        <w:t xml:space="preserve"> Absorb table format and HDPE example</w:t>
      </w:r>
    </w:p>
    <w:p w14:paraId="3AA5884D" w14:textId="77777777" w:rsidR="00BF5725" w:rsidRDefault="00DD073B">
      <w:r>
        <w:rPr>
          <w:noProof/>
        </w:rPr>
        <w:pict w14:anchorId="735533CD">
          <v:rect id="_x0000_i1025" alt="" style="width:468pt;height:.05pt;mso-width-percent:0;mso-height-percent:0;mso-width-percent:0;mso-height-percent:0" o:hralign="center" o:hrstd="t" o:hr="t"/>
        </w:pict>
      </w:r>
    </w:p>
    <w:p w14:paraId="7B6ABF98" w14:textId="77777777" w:rsidR="00BF5725" w:rsidRDefault="00000000">
      <w:pPr>
        <w:pStyle w:val="Heading2"/>
      </w:pPr>
      <w:bookmarkStart w:id="14" w:name="critical-gaps-requiring-new-content"/>
      <w:r>
        <w:t>Critical Gaps Requiring New Content</w:t>
      </w:r>
      <w:bookmarkEnd w:id="14"/>
    </w:p>
    <w:p w14:paraId="49453150" w14:textId="77777777" w:rsidR="00BF5725" w:rsidRDefault="00000000">
      <w:pPr>
        <w:pStyle w:val="Heading3"/>
      </w:pPr>
      <w:bookmarkStart w:id="15" w:name="high-priority"/>
      <w:r>
        <w:t>HIGH PRIORITY</w:t>
      </w:r>
      <w:bookmarkEnd w:id="15"/>
    </w:p>
    <w:p w14:paraId="7E81B714" w14:textId="77777777" w:rsidR="00BF5725" w:rsidRDefault="00000000">
      <w:pPr>
        <w:pStyle w:val="FirstParagraph"/>
      </w:pPr>
      <w:r>
        <w:rPr>
          <w:b/>
        </w:rPr>
        <w:t>3:2 Supply</w:t>
      </w:r>
      <w:r>
        <w:t xml:space="preserve"> — Four supply scenarios completely missing: - Sale or return rules - Maintenance/repair services (garage as final user) - Delivery and installation services (5 specific examples) - Branded packaging supply rules</w:t>
      </w:r>
    </w:p>
    <w:p w14:paraId="5159857B" w14:textId="77777777" w:rsidR="00BF5725" w:rsidRDefault="00000000">
      <w:pPr>
        <w:pStyle w:val="BodyText"/>
      </w:pPr>
      <w:r>
        <w:rPr>
          <w:b/>
        </w:rPr>
        <w:t>3:5 Multi-branded packaging</w:t>
      </w:r>
      <w:r>
        <w:t xml:space="preserve"> — 7 detailed worked examples missing: - Crisps, supermarket licensing, co-branded wholesaler, retailer-owned empty packaging - Cheesemaker/retailer, potted plant grower, hamper table - Plant breeder’s rights clarification</w:t>
      </w:r>
    </w:p>
    <w:p w14:paraId="7262AC40" w14:textId="77777777" w:rsidR="00BF5725" w:rsidRDefault="00000000">
      <w:pPr>
        <w:pStyle w:val="BodyText"/>
      </w:pPr>
      <w:r>
        <w:rPr>
          <w:b/>
        </w:rPr>
        <w:t>3:6 Branded by packaging type</w:t>
      </w:r>
      <w:r>
        <w:t xml:space="preserve"> — Entire topic absent: - Rule: assess branding separately for each packaging layer - Worked example with beans/tray/shrink wrap/pallet - Table showing assessment by layer</w:t>
      </w:r>
    </w:p>
    <w:p w14:paraId="4E771B05" w14:textId="77777777" w:rsidR="00BF5725" w:rsidRDefault="00000000">
      <w:pPr>
        <w:pStyle w:val="Heading3"/>
      </w:pPr>
      <w:bookmarkStart w:id="16" w:name="medium-priority"/>
      <w:r>
        <w:t>MEDIUM PRIORITY</w:t>
      </w:r>
      <w:bookmarkEnd w:id="16"/>
    </w:p>
    <w:p w14:paraId="4A546DC0" w14:textId="77777777" w:rsidR="00BF5725" w:rsidRDefault="00000000">
      <w:pPr>
        <w:pStyle w:val="FirstParagraph"/>
      </w:pPr>
      <w:r>
        <w:rPr>
          <w:b/>
        </w:rPr>
        <w:t>3:7 Importer</w:t>
      </w:r>
      <w:r>
        <w:t xml:space="preserve"> — Substantial additions needed: - 9 detailed scenarios - “Brand owner caused the import” concept - US Air Force bases, bonded warehouses</w:t>
      </w:r>
    </w:p>
    <w:p w14:paraId="24033DE9" w14:textId="77777777" w:rsidR="00BF5725" w:rsidRDefault="00000000">
      <w:pPr>
        <w:pStyle w:val="Heading3"/>
      </w:pPr>
      <w:bookmarkStart w:id="17" w:name="low-priority"/>
      <w:r>
        <w:t>LOW PRIORITY</w:t>
      </w:r>
      <w:bookmarkEnd w:id="17"/>
    </w:p>
    <w:p w14:paraId="2B6AE159" w14:textId="77777777" w:rsidR="00BF5725" w:rsidRDefault="00000000">
      <w:pPr>
        <w:pStyle w:val="FirstParagraph"/>
      </w:pPr>
      <w:r>
        <w:rPr>
          <w:b/>
        </w:rPr>
        <w:t>3:1, 3:3, 3:4, 3:8, 3:9, 3:10</w:t>
      </w:r>
      <w:r>
        <w:t xml:space="preserve"> — Minor absorptions: - Examples, clarifications, table formats - Can be added to existing pages without restructuring</w:t>
      </w:r>
    </w:p>
    <w:sectPr w:rsidR="00BF572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5D7B4" w14:textId="77777777" w:rsidR="00DD073B" w:rsidRDefault="00DD073B">
      <w:pPr>
        <w:spacing w:after="0"/>
      </w:pPr>
      <w:r>
        <w:separator/>
      </w:r>
    </w:p>
  </w:endnote>
  <w:endnote w:type="continuationSeparator" w:id="0">
    <w:p w14:paraId="4BC5054C" w14:textId="77777777" w:rsidR="00DD073B" w:rsidRDefault="00DD07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7A26A" w14:textId="77777777" w:rsidR="00DD073B" w:rsidRDefault="00DD073B">
      <w:r>
        <w:separator/>
      </w:r>
    </w:p>
  </w:footnote>
  <w:footnote w:type="continuationSeparator" w:id="0">
    <w:p w14:paraId="447A763E" w14:textId="77777777" w:rsidR="00DD073B" w:rsidRDefault="00DD0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3146604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F81CE69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6D5027E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97331262">
    <w:abstractNumId w:val="1"/>
  </w:num>
  <w:num w:numId="2" w16cid:durableId="1554732161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2015569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13A10"/>
    <w:rsid w:val="004E29B3"/>
    <w:rsid w:val="00590D07"/>
    <w:rsid w:val="00784D58"/>
    <w:rsid w:val="008D6863"/>
    <w:rsid w:val="00995A46"/>
    <w:rsid w:val="00B86B75"/>
    <w:rsid w:val="00BC48D5"/>
    <w:rsid w:val="00BF5725"/>
    <w:rsid w:val="00C36279"/>
    <w:rsid w:val="00DD073B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CA4FF"/>
  <w15:docId w15:val="{665AB88A-9AA4-E24F-8764-CC87BAB6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1207</Words>
  <Characters>7549</Characters>
  <Application>Microsoft Office Word</Application>
  <DocSecurity>0</DocSecurity>
  <Lines>204</Lines>
  <Paragraphs>143</Paragraphs>
  <ScaleCrop>false</ScaleCrop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sean walsh</cp:lastModifiedBy>
  <cp:revision>2</cp:revision>
  <dcterms:created xsi:type="dcterms:W3CDTF">2026-01-12T11:34:00Z</dcterms:created>
  <dcterms:modified xsi:type="dcterms:W3CDTF">2026-01-12T11:35:00Z</dcterms:modified>
</cp:coreProperties>
</file>