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8A92" w:sz="20" w:space="8"/>
        </w:pBdr>
        <w:spacing w:after="60"/>
      </w:pPr>
      <w:r>
        <w:rPr>
          <w:b/>
          <w:bCs/>
          <w:color w:val="1F3A5F"/>
          <w:spacing w:val="50"/>
          <w:sz w:val="24"/>
          <w:szCs w:val="24"/>
        </w:rPr>
        <w:t xml:space="preserve">XTRATA</w:t>
      </w:r>
    </w:p>
    <w:p>
      <w:pPr>
        <w:spacing w:after="70" w:before="160"/>
      </w:pPr>
      <w:r>
        <w:rPr>
          <w:b/>
          <w:bCs/>
          <w:color w:val="111111"/>
          <w:sz w:val="48"/>
          <w:szCs w:val="48"/>
        </w:rPr>
        <w:t xml:space="preserve">Proof of Session</w:t>
      </w:r>
    </w:p>
    <w:p>
      <w:pPr>
        <w:pBdr>
          <w:bottom w:val="single" w:color="CCCCCC" w:sz="6" w:space="8"/>
        </w:pBdr>
        <w:spacing w:after="50"/>
      </w:pPr>
      <w:r>
        <w:rPr>
          <w:b/>
          <w:bCs/>
          <w:color w:val="1F3A5F"/>
          <w:sz w:val="30"/>
          <w:szCs w:val="30"/>
        </w:rPr>
        <w:t xml:space="preserve">Technical Specification</w:t>
      </w:r>
    </w:p>
    <w:p>
      <w:pPr>
        <w:spacing w:after="18" w:before="120"/>
      </w:pPr>
      <w:r>
        <w:rPr>
          <w:color w:val="444444"/>
          <w:sz w:val="22"/>
          <w:szCs w:val="22"/>
        </w:rPr>
        <w:t xml:space="preserve">Companion to the Strategic and Technical White Paper</w:t>
      </w:r>
    </w:p>
    <w:p>
      <w:pPr>
        <w:spacing w:after="230"/>
      </w:pPr>
      <w:r>
        <w:rPr>
          <w:color w:val="444444"/>
          <w:sz w:val="22"/>
          <w:szCs w:val="22"/>
        </w:rPr>
        <w:t xml:space="preserve">Version 0.5  |  July 2026</w:t>
      </w:r>
    </w:p>
    <w:p>
      <w:pPr>
        <w:pBdr>
          <w:top w:val="single" w:color="168A92" w:sz="4" w:space="8"/>
          <w:left w:val="single" w:color="168A92" w:sz="18" w:space="10"/>
          <w:bottom w:val="single" w:color="168A92" w:sz="4" w:space="8"/>
          <w:right w:val="single" w:color="168A92" w:sz="4" w:space="8"/>
        </w:pBdr>
        <w:shd w:fill="F1F8F8" w:color="auto" w:val="clear"/>
        <w:spacing w:after="150" w:before="120"/>
      </w:pPr>
      <w:r>
        <w:rPr>
          <w:b/>
          <w:bCs/>
          <w:color w:val="168A92"/>
          <w:sz w:val="20"/>
          <w:szCs w:val="20"/>
        </w:rPr>
        <w:t xml:space="preserve">Scope</w:t>
      </w:r>
      <w:r>
        <w:rPr>
          <w:sz w:val="20"/>
          <w:szCs w:val="20"/>
        </w:rPr>
        <w:t xml:space="preserve">  This specification details the mechanisms the white paper commits to but does not fully describe: the signature envelope, multidimensional assurance, the canonicalisation pipeline, key management, data-protection governance, chain and contract assumptions, registry governance and the core data objects. It is a design-level specification, not a final wire format; field names are illustrative and subject to conformance review.</w:t>
      </w:r>
    </w:p>
    <w:p>
      <w:pPr>
        <w:spacing w:after="200"/>
      </w:pPr>
      <w:r>
        <w:rPr>
          <w:i/>
          <w:iCs/>
          <w:color w:val="777777"/>
          <w:sz w:val="17"/>
          <w:szCs w:val="17"/>
        </w:rPr>
        <w:t xml:space="preserve">Read with: Xtrata Proof of Session White Paper v0.5. Where the two differ, the white paper governs intent and this document governs mechanism.</w:t>
      </w:r>
    </w:p>
    <w:p>
      <w:r>
        <w:br/>
        <w:t xml:space="preserve"/>
      </w:r>
    </w:p>
    <w:p>
      <w:pPr>
        <w:pStyle w:val="Heading1"/>
        <w:keepNext/>
        <w:spacing w:after="130" w:before="320"/>
      </w:pPr>
      <w:r>
        <w:rPr>
          <w:b/>
          <w:bCs/>
          <w:color w:val="1F3A5F"/>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100"/>
      </w:pPr>
      <w:r>
        <w:rPr>
          <w:i/>
          <w:iCs/>
          <w:color w:val="777777"/>
          <w:sz w:val="17"/>
          <w:szCs w:val="17"/>
        </w:rPr>
        <w:t xml:space="preserve">Right-click the table and choose “Update field” to populate page numbers.</w:t>
      </w:r>
    </w:p>
    <w:p>
      <w:r>
        <w:br/>
        <w:t xml:space="preserve"/>
      </w:r>
    </w:p>
    <w:p>
      <w:pPr>
        <w:pStyle w:val="Heading1"/>
        <w:keepNext/>
        <w:spacing w:after="130" w:before="320"/>
      </w:pPr>
      <w:r>
        <w:rPr>
          <w:b/>
          <w:bCs/>
          <w:color w:val="1F3A5F"/>
          <w:sz w:val="28"/>
          <w:szCs w:val="28"/>
        </w:rPr>
        <w:t xml:space="preserve">1. Purpose and design goals</w:t>
      </w:r>
    </w:p>
    <w:p>
      <w:pPr>
        <w:spacing w:after="120" w:line="270"/>
      </w:pPr>
      <w:r>
        <w:rPr>
          <w:i w:val="false"/>
          <w:iCs w:val="false"/>
          <w:sz w:val="20"/>
          <w:szCs w:val="20"/>
        </w:rPr>
        <w:t xml:space="preserve">Proof of Session gives a music project a portable, tamper-evident memory of who participated, what they agreed and how the work developed. This document specifies the mechanisms that make that memory verifiable by parties who do not trust the Xtrata application, and that keep every claim scoped to the evidence actually established.</w:t>
      </w:r>
    </w:p>
    <w:p>
      <w:pPr>
        <w:spacing w:after="120" w:line="270"/>
      </w:pPr>
      <w:r>
        <w:rPr>
          <w:i w:val="false"/>
          <w:iCs w:val="false"/>
          <w:sz w:val="20"/>
          <w:szCs w:val="20"/>
        </w:rPr>
        <w:t xml:space="preserve">Four design goals constrain every mechanism below:</w:t>
      </w:r>
    </w:p>
    <w:p>
      <w:pPr>
        <w:pStyle w:val="ListParagraph"/>
        <w:numPr>
          <w:ilvl w:val="0"/>
          <w:numId w:val="2"/>
        </w:numPr>
        <w:spacing w:after="50" w:line="262"/>
      </w:pPr>
      <w:r>
        <w:rPr>
          <w:sz w:val="20"/>
          <w:szCs w:val="20"/>
        </w:rPr>
        <w:t xml:space="preserve">Scoped truth. No component may present one undifferentiated “verified” state. Every result names what was verified, under which adapter, identity assurance, and tested change classes.</w:t>
      </w:r>
    </w:p>
    <w:p>
      <w:pPr>
        <w:pStyle w:val="ListParagraph"/>
        <w:numPr>
          <w:ilvl w:val="0"/>
          <w:numId w:val="2"/>
        </w:numPr>
        <w:spacing w:after="50" w:line="262"/>
      </w:pPr>
      <w:r>
        <w:rPr>
          <w:sz w:val="20"/>
          <w:szCs w:val="20"/>
        </w:rPr>
        <w:t xml:space="preserve">Local-first, selectively anchored. Routine work stays local and private; only compact roots and selected metadata are anchored.</w:t>
      </w:r>
    </w:p>
    <w:p>
      <w:pPr>
        <w:pStyle w:val="ListParagraph"/>
        <w:numPr>
          <w:ilvl w:val="0"/>
          <w:numId w:val="2"/>
        </w:numPr>
        <w:spacing w:after="50" w:line="262"/>
      </w:pPr>
      <w:r>
        <w:rPr>
          <w:sz w:val="20"/>
          <w:szCs w:val="20"/>
        </w:rPr>
        <w:t xml:space="preserve">Independent verifiability. The evidence format, hashing rules and registries are open, and a verifier can confirm a record — including at a historical point in time — without a live trusted Xtrata endpoint.</w:t>
      </w:r>
    </w:p>
    <w:p>
      <w:pPr>
        <w:pStyle w:val="ListParagraph"/>
        <w:numPr>
          <w:ilvl w:val="0"/>
          <w:numId w:val="2"/>
        </w:numPr>
        <w:spacing w:after="50" w:line="262"/>
      </w:pPr>
      <w:r>
        <w:rPr>
          <w:sz w:val="20"/>
          <w:szCs w:val="20"/>
        </w:rPr>
        <w:t xml:space="preserve">Honest bounds. Signatures bind to exact payloads; assurance is multidimensional and not a legal grade; revocation and completeness are described precisely, not overclaimed.</w:t>
      </w:r>
    </w:p>
    <w:p>
      <w:pPr>
        <w:pStyle w:val="Heading1"/>
        <w:keepNext/>
        <w:spacing w:after="130" w:before="320"/>
      </w:pPr>
      <w:r>
        <w:rPr>
          <w:b/>
          <w:bCs/>
          <w:color w:val="1F3A5F"/>
          <w:sz w:val="28"/>
          <w:szCs w:val="28"/>
        </w:rPr>
        <w:t xml:space="preserve">2. Canonical signable envelope</w:t>
      </w:r>
    </w:p>
    <w:p>
      <w:pPr>
        <w:spacing w:after="120" w:line="270"/>
      </w:pPr>
      <w:r>
        <w:rPr>
          <w:i w:val="false"/>
          <w:iCs w:val="false"/>
          <w:sz w:val="20"/>
          <w:szCs w:val="20"/>
        </w:rPr>
        <w:t xml:space="preserve">Every signed action commits to a single canonical object, the signable envelope. This binds a signature to a specific action on a specific project and agreement, and prevents a credential from proving only that a user authenticated.</w:t>
      </w:r>
    </w:p>
    <w:p>
      <w:pPr>
        <w:pStyle w:val="Heading2"/>
        <w:keepNext/>
        <w:spacing w:after="66" w:before="200"/>
      </w:pPr>
      <w:r>
        <w:rPr>
          <w:b/>
          <w:bCs/>
          <w:color w:val="168A92"/>
          <w:sz w:val="22"/>
          <w:szCs w:val="22"/>
        </w:rPr>
        <w:t xml:space="preserve">2.1 Envelope fields</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4"/>
              <w:left w:type="dxa" w:w="100"/>
              <w:bottom w:type="dxa" w:w="54"/>
              <w:right w:type="dxa" w:w="100"/>
            </w:tcMar>
          </w:tcPr>
          <w:p>
            <w:r>
              <w:rPr>
                <w:b/>
                <w:bCs/>
                <w:color w:val="FFFFFF"/>
                <w:sz w:val="18"/>
                <w:szCs w:val="18"/>
              </w:rPr>
              <w:t xml:space="preserve">Field</w:t>
            </w:r>
          </w:p>
        </w:tc>
        <w:tc>
          <w:tcPr>
            <w:tcW w:type="dxa" w:w="6740"/>
            <w:shd w:fill="1F3A5F" w:color="auto" w:val="clear"/>
            <w:tcMar>
              <w:top w:type="dxa" w:w="54"/>
              <w:left w:type="dxa" w:w="100"/>
              <w:bottom w:type="dxa" w:w="54"/>
              <w:right w:type="dxa" w:w="100"/>
            </w:tcMar>
          </w:tcPr>
          <w:p>
            <w:r>
              <w:rPr>
                <w:b/>
                <w:bCs/>
                <w:color w:val="FFFFFF"/>
                <w:sz w:val="18"/>
                <w:szCs w:val="18"/>
              </w:rPr>
              <w:t xml:space="preserve">Purpose</w:t>
            </w:r>
          </w:p>
        </w:tc>
      </w:tr>
      <w:tr>
        <w:tc>
          <w:tcPr>
            <w:tcW w:type="dxa" w:w="3400"/>
            <w:tcMar>
              <w:top w:type="dxa" w:w="54"/>
              <w:left w:type="dxa" w:w="100"/>
              <w:bottom w:type="dxa" w:w="54"/>
              <w:right w:type="dxa" w:w="100"/>
            </w:tcMar>
          </w:tcPr>
          <w:p>
            <w:r>
              <w:rPr>
                <w:sz w:val="18"/>
                <w:szCs w:val="18"/>
              </w:rPr>
              <w:t xml:space="preserve">schema</w:t>
            </w:r>
          </w:p>
        </w:tc>
        <w:tc>
          <w:tcPr>
            <w:tcW w:type="dxa" w:w="6740"/>
            <w:tcMar>
              <w:top w:type="dxa" w:w="54"/>
              <w:left w:type="dxa" w:w="100"/>
              <w:bottom w:type="dxa" w:w="54"/>
              <w:right w:type="dxa" w:w="100"/>
            </w:tcMar>
          </w:tcPr>
          <w:p>
            <w:r>
              <w:rPr>
                <w:sz w:val="18"/>
                <w:szCs w:val="18"/>
              </w:rPr>
              <w:t xml:space="preserve">Envelope schema and version identifier.</w:t>
            </w:r>
          </w:p>
        </w:tc>
      </w:tr>
      <w:tr>
        <w:tc>
          <w:tcPr>
            <w:tcW w:type="dxa" w:w="3400"/>
            <w:shd w:fill="F3F5F7" w:color="auto" w:val="clear"/>
            <w:tcMar>
              <w:top w:type="dxa" w:w="54"/>
              <w:left w:type="dxa" w:w="100"/>
              <w:bottom w:type="dxa" w:w="54"/>
              <w:right w:type="dxa" w:w="100"/>
            </w:tcMar>
          </w:tcPr>
          <w:p>
            <w:r>
              <w:rPr>
                <w:sz w:val="18"/>
                <w:szCs w:val="18"/>
              </w:rPr>
              <w:t xml:space="preserve">network / contract</w:t>
            </w:r>
          </w:p>
        </w:tc>
        <w:tc>
          <w:tcPr>
            <w:tcW w:type="dxa" w:w="6740"/>
            <w:shd w:fill="F3F5F7" w:color="auto" w:val="clear"/>
            <w:tcMar>
              <w:top w:type="dxa" w:w="54"/>
              <w:left w:type="dxa" w:w="100"/>
              <w:bottom w:type="dxa" w:w="54"/>
              <w:right w:type="dxa" w:w="100"/>
            </w:tcMar>
          </w:tcPr>
          <w:p>
            <w:r>
              <w:rPr>
                <w:sz w:val="18"/>
                <w:szCs w:val="18"/>
              </w:rPr>
              <w:t xml:space="preserve">Chain network and contract reference that scopes the action.</w:t>
            </w:r>
          </w:p>
        </w:tc>
      </w:tr>
      <w:tr>
        <w:tc>
          <w:tcPr>
            <w:tcW w:type="dxa" w:w="3400"/>
            <w:tcMar>
              <w:top w:type="dxa" w:w="54"/>
              <w:left w:type="dxa" w:w="100"/>
              <w:bottom w:type="dxa" w:w="54"/>
              <w:right w:type="dxa" w:w="100"/>
            </w:tcMar>
          </w:tcPr>
          <w:p>
            <w:r>
              <w:rPr>
                <w:sz w:val="18"/>
                <w:szCs w:val="18"/>
              </w:rPr>
              <w:t xml:space="preserve">project_id</w:t>
            </w:r>
          </w:p>
        </w:tc>
        <w:tc>
          <w:tcPr>
            <w:tcW w:type="dxa" w:w="6740"/>
            <w:tcMar>
              <w:top w:type="dxa" w:w="54"/>
              <w:left w:type="dxa" w:w="100"/>
              <w:bottom w:type="dxa" w:w="54"/>
              <w:right w:type="dxa" w:w="100"/>
            </w:tcMar>
          </w:tcPr>
          <w:p>
            <w:r>
              <w:rPr>
                <w:sz w:val="18"/>
                <w:szCs w:val="18"/>
              </w:rPr>
              <w:t xml:space="preserve">The Project Passport the action belongs to.</w:t>
            </w:r>
          </w:p>
        </w:tc>
      </w:tr>
      <w:tr>
        <w:tc>
          <w:tcPr>
            <w:tcW w:type="dxa" w:w="3400"/>
            <w:shd w:fill="F3F5F7" w:color="auto" w:val="clear"/>
            <w:tcMar>
              <w:top w:type="dxa" w:w="54"/>
              <w:left w:type="dxa" w:w="100"/>
              <w:bottom w:type="dxa" w:w="54"/>
              <w:right w:type="dxa" w:w="100"/>
            </w:tcMar>
          </w:tcPr>
          <w:p>
            <w:r>
              <w:rPr>
                <w:sz w:val="18"/>
                <w:szCs w:val="18"/>
              </w:rPr>
              <w:t xml:space="preserve">action_type</w:t>
            </w:r>
          </w:p>
        </w:tc>
        <w:tc>
          <w:tcPr>
            <w:tcW w:type="dxa" w:w="6740"/>
            <w:shd w:fill="F3F5F7" w:color="auto" w:val="clear"/>
            <w:tcMar>
              <w:top w:type="dxa" w:w="54"/>
              <w:left w:type="dxa" w:w="100"/>
              <w:bottom w:type="dxa" w:w="54"/>
              <w:right w:type="dxa" w:w="100"/>
            </w:tcMar>
          </w:tcPr>
          <w:p>
            <w:r>
              <w:rPr>
                <w:sz w:val="18"/>
                <w:szCs w:val="18"/>
              </w:rPr>
              <w:t xml:space="preserve">e.g. join, acknowledge, approve_split, approve_mix, approve_master, register_branch, policy_change.</w:t>
            </w:r>
          </w:p>
        </w:tc>
      </w:tr>
      <w:tr>
        <w:tc>
          <w:tcPr>
            <w:tcW w:type="dxa" w:w="3400"/>
            <w:tcMar>
              <w:top w:type="dxa" w:w="54"/>
              <w:left w:type="dxa" w:w="100"/>
              <w:bottom w:type="dxa" w:w="54"/>
              <w:right w:type="dxa" w:w="100"/>
            </w:tcMar>
          </w:tcPr>
          <w:p>
            <w:r>
              <w:rPr>
                <w:sz w:val="18"/>
                <w:szCs w:val="18"/>
              </w:rPr>
              <w:t xml:space="preserve">subject_hash</w:t>
            </w:r>
          </w:p>
        </w:tc>
        <w:tc>
          <w:tcPr>
            <w:tcW w:type="dxa" w:w="6740"/>
            <w:tcMar>
              <w:top w:type="dxa" w:w="54"/>
              <w:left w:type="dxa" w:w="100"/>
              <w:bottom w:type="dxa" w:w="54"/>
              <w:right w:type="dxa" w:w="100"/>
            </w:tcMar>
          </w:tcPr>
          <w:p>
            <w:r>
              <w:rPr>
                <w:sz w:val="18"/>
                <w:szCs w:val="18"/>
              </w:rPr>
              <w:t xml:space="preserve">Hash of the object acted on: agreement version, asset, checkpoint root or policy version.</w:t>
            </w:r>
          </w:p>
        </w:tc>
      </w:tr>
      <w:tr>
        <w:tc>
          <w:tcPr>
            <w:tcW w:type="dxa" w:w="3400"/>
            <w:shd w:fill="F3F5F7" w:color="auto" w:val="clear"/>
            <w:tcMar>
              <w:top w:type="dxa" w:w="54"/>
              <w:left w:type="dxa" w:w="100"/>
              <w:bottom w:type="dxa" w:w="54"/>
              <w:right w:type="dxa" w:w="100"/>
            </w:tcMar>
          </w:tcPr>
          <w:p>
            <w:r>
              <w:rPr>
                <w:sz w:val="18"/>
                <w:szCs w:val="18"/>
              </w:rPr>
              <w:t xml:space="preserve">statement_hash</w:t>
            </w:r>
          </w:p>
        </w:tc>
        <w:tc>
          <w:tcPr>
            <w:tcW w:type="dxa" w:w="6740"/>
            <w:shd w:fill="F3F5F7" w:color="auto" w:val="clear"/>
            <w:tcMar>
              <w:top w:type="dxa" w:w="54"/>
              <w:left w:type="dxa" w:w="100"/>
              <w:bottom w:type="dxa" w:w="54"/>
              <w:right w:type="dxa" w:w="100"/>
            </w:tcMar>
          </w:tcPr>
          <w:p>
            <w:r>
              <w:rPr>
                <w:sz w:val="18"/>
                <w:szCs w:val="18"/>
              </w:rPr>
              <w:t xml:space="preserve">Hash of the exact human-readable statement presented to the signer.</w:t>
            </w:r>
          </w:p>
        </w:tc>
      </w:tr>
      <w:tr>
        <w:tc>
          <w:tcPr>
            <w:tcW w:type="dxa" w:w="3400"/>
            <w:tcMar>
              <w:top w:type="dxa" w:w="54"/>
              <w:left w:type="dxa" w:w="100"/>
              <w:bottom w:type="dxa" w:w="54"/>
              <w:right w:type="dxa" w:w="100"/>
            </w:tcMar>
          </w:tcPr>
          <w:p>
            <w:r>
              <w:rPr>
                <w:sz w:val="18"/>
                <w:szCs w:val="18"/>
              </w:rPr>
              <w:t xml:space="preserve">attachment_hashes</w:t>
            </w:r>
          </w:p>
        </w:tc>
        <w:tc>
          <w:tcPr>
            <w:tcW w:type="dxa" w:w="6740"/>
            <w:tcMar>
              <w:top w:type="dxa" w:w="54"/>
              <w:left w:type="dxa" w:w="100"/>
              <w:bottom w:type="dxa" w:w="54"/>
              <w:right w:type="dxa" w:w="100"/>
            </w:tcMar>
          </w:tcPr>
          <w:p>
            <w:r>
              <w:rPr>
                <w:sz w:val="18"/>
                <w:szCs w:val="18"/>
              </w:rPr>
              <w:t xml:space="preserve">Hashes of any documents shown as part of the ceremony.</w:t>
            </w:r>
          </w:p>
        </w:tc>
      </w:tr>
      <w:tr>
        <w:tc>
          <w:tcPr>
            <w:tcW w:type="dxa" w:w="3400"/>
            <w:shd w:fill="F3F5F7" w:color="auto" w:val="clear"/>
            <w:tcMar>
              <w:top w:type="dxa" w:w="54"/>
              <w:left w:type="dxa" w:w="100"/>
              <w:bottom w:type="dxa" w:w="54"/>
              <w:right w:type="dxa" w:w="100"/>
            </w:tcMar>
          </w:tcPr>
          <w:p>
            <w:r>
              <w:rPr>
                <w:sz w:val="18"/>
                <w:szCs w:val="18"/>
              </w:rPr>
              <w:t xml:space="preserve">signer_credential</w:t>
            </w:r>
          </w:p>
        </w:tc>
        <w:tc>
          <w:tcPr>
            <w:tcW w:type="dxa" w:w="6740"/>
            <w:shd w:fill="F3F5F7" w:color="auto" w:val="clear"/>
            <w:tcMar>
              <w:top w:type="dxa" w:w="54"/>
              <w:left w:type="dxa" w:w="100"/>
              <w:bottom w:type="dxa" w:w="54"/>
              <w:right w:type="dxa" w:w="100"/>
            </w:tcMar>
          </w:tcPr>
          <w:p>
            <w:r>
              <w:rPr>
                <w:sz w:val="18"/>
                <w:szCs w:val="18"/>
              </w:rPr>
              <w:t xml:space="preserve">Credential reference (public key, DID or provider-issued identifier).</w:t>
            </w:r>
          </w:p>
        </w:tc>
      </w:tr>
      <w:tr>
        <w:tc>
          <w:tcPr>
            <w:tcW w:type="dxa" w:w="3400"/>
            <w:tcMar>
              <w:top w:type="dxa" w:w="54"/>
              <w:left w:type="dxa" w:w="100"/>
              <w:bottom w:type="dxa" w:w="54"/>
              <w:right w:type="dxa" w:w="100"/>
            </w:tcMar>
          </w:tcPr>
          <w:p>
            <w:r>
              <w:rPr>
                <w:sz w:val="18"/>
                <w:szCs w:val="18"/>
              </w:rPr>
              <w:t xml:space="preserve">represented_party</w:t>
            </w:r>
          </w:p>
        </w:tc>
        <w:tc>
          <w:tcPr>
            <w:tcW w:type="dxa" w:w="6740"/>
            <w:tcMar>
              <w:top w:type="dxa" w:w="54"/>
              <w:left w:type="dxa" w:w="100"/>
              <w:bottom w:type="dxa" w:w="54"/>
              <w:right w:type="dxa" w:w="100"/>
            </w:tcMar>
          </w:tcPr>
          <w:p>
            <w:r>
              <w:rPr>
                <w:sz w:val="18"/>
                <w:szCs w:val="18"/>
              </w:rPr>
              <w:t xml:space="preserve">Present only when signing on behalf of an organisation or another party.</w:t>
            </w:r>
          </w:p>
        </w:tc>
      </w:tr>
      <w:tr>
        <w:tc>
          <w:tcPr>
            <w:tcW w:type="dxa" w:w="3400"/>
            <w:shd w:fill="F3F5F7" w:color="auto" w:val="clear"/>
            <w:tcMar>
              <w:top w:type="dxa" w:w="54"/>
              <w:left w:type="dxa" w:w="100"/>
              <w:bottom w:type="dxa" w:w="54"/>
              <w:right w:type="dxa" w:w="100"/>
            </w:tcMar>
          </w:tcPr>
          <w:p>
            <w:r>
              <w:rPr>
                <w:sz w:val="18"/>
                <w:szCs w:val="18"/>
              </w:rPr>
              <w:t xml:space="preserve">required_assurance</w:t>
            </w:r>
          </w:p>
        </w:tc>
        <w:tc>
          <w:tcPr>
            <w:tcW w:type="dxa" w:w="6740"/>
            <w:shd w:fill="F3F5F7" w:color="auto" w:val="clear"/>
            <w:tcMar>
              <w:top w:type="dxa" w:w="54"/>
              <w:left w:type="dxa" w:w="100"/>
              <w:bottom w:type="dxa" w:w="54"/>
              <w:right w:type="dxa" w:w="100"/>
            </w:tcMar>
          </w:tcPr>
          <w:p>
            <w:r>
              <w:rPr>
                <w:sz w:val="18"/>
                <w:szCs w:val="18"/>
              </w:rPr>
              <w:t xml:space="preserve">The assurance policy in force for this action at signing time.</w:t>
            </w:r>
          </w:p>
        </w:tc>
      </w:tr>
      <w:tr>
        <w:tc>
          <w:tcPr>
            <w:tcW w:type="dxa" w:w="3400"/>
            <w:tcMar>
              <w:top w:type="dxa" w:w="54"/>
              <w:left w:type="dxa" w:w="100"/>
              <w:bottom w:type="dxa" w:w="54"/>
              <w:right w:type="dxa" w:w="100"/>
            </w:tcMar>
          </w:tcPr>
          <w:p>
            <w:r>
              <w:rPr>
                <w:sz w:val="18"/>
                <w:szCs w:val="18"/>
              </w:rPr>
              <w:t xml:space="preserve">app_domain</w:t>
            </w:r>
          </w:p>
        </w:tc>
        <w:tc>
          <w:tcPr>
            <w:tcW w:type="dxa" w:w="6740"/>
            <w:tcMar>
              <w:top w:type="dxa" w:w="54"/>
              <w:left w:type="dxa" w:w="100"/>
              <w:bottom w:type="dxa" w:w="54"/>
              <w:right w:type="dxa" w:w="100"/>
            </w:tcMar>
          </w:tcPr>
          <w:p>
            <w:r>
              <w:rPr>
                <w:sz w:val="18"/>
                <w:szCs w:val="18"/>
              </w:rPr>
              <w:t xml:space="preserve">Relying-party / application domain, for domain separation.</w:t>
            </w:r>
          </w:p>
        </w:tc>
      </w:tr>
      <w:tr>
        <w:tc>
          <w:tcPr>
            <w:tcW w:type="dxa" w:w="3400"/>
            <w:shd w:fill="F3F5F7" w:color="auto" w:val="clear"/>
            <w:tcMar>
              <w:top w:type="dxa" w:w="54"/>
              <w:left w:type="dxa" w:w="100"/>
              <w:bottom w:type="dxa" w:w="54"/>
              <w:right w:type="dxa" w:w="100"/>
            </w:tcMar>
          </w:tcPr>
          <w:p>
            <w:r>
              <w:rPr>
                <w:sz w:val="18"/>
                <w:szCs w:val="18"/>
              </w:rPr>
              <w:t xml:space="preserve">issued_at / expiry</w:t>
            </w:r>
          </w:p>
        </w:tc>
        <w:tc>
          <w:tcPr>
            <w:tcW w:type="dxa" w:w="6740"/>
            <w:shd w:fill="F3F5F7" w:color="auto" w:val="clear"/>
            <w:tcMar>
              <w:top w:type="dxa" w:w="54"/>
              <w:left w:type="dxa" w:w="100"/>
              <w:bottom w:type="dxa" w:w="54"/>
              <w:right w:type="dxa" w:w="100"/>
            </w:tcMar>
          </w:tcPr>
          <w:p>
            <w:r>
              <w:rPr>
                <w:sz w:val="18"/>
                <w:szCs w:val="18"/>
              </w:rPr>
              <w:t xml:space="preserve">Validity window for the signable object.</w:t>
            </w:r>
          </w:p>
        </w:tc>
      </w:tr>
      <w:tr>
        <w:tc>
          <w:tcPr>
            <w:tcW w:type="dxa" w:w="3400"/>
            <w:tcMar>
              <w:top w:type="dxa" w:w="54"/>
              <w:left w:type="dxa" w:w="100"/>
              <w:bottom w:type="dxa" w:w="54"/>
              <w:right w:type="dxa" w:w="100"/>
            </w:tcMar>
          </w:tcPr>
          <w:p>
            <w:r>
              <w:rPr>
                <w:sz w:val="18"/>
                <w:szCs w:val="18"/>
              </w:rPr>
              <w:t xml:space="preserve">nonce</w:t>
            </w:r>
          </w:p>
        </w:tc>
        <w:tc>
          <w:tcPr>
            <w:tcW w:type="dxa" w:w="6740"/>
            <w:tcMar>
              <w:top w:type="dxa" w:w="54"/>
              <w:left w:type="dxa" w:w="100"/>
              <w:bottom w:type="dxa" w:w="54"/>
              <w:right w:type="dxa" w:w="100"/>
            </w:tcMar>
          </w:tcPr>
          <w:p>
            <w:r>
              <w:rPr>
                <w:sz w:val="18"/>
                <w:szCs w:val="18"/>
              </w:rPr>
              <w:t xml:space="preserve">Single-use value binding the signature to one attempt.</w:t>
            </w:r>
          </w:p>
        </w:tc>
      </w:tr>
    </w:tbl>
    <w:p>
      <w:pPr>
        <w:spacing w:after="60"/>
      </w:pPr>
      <w:r>
        <w:rPr>
          <w:sz w:val="6"/>
          <w:szCs w:val="6"/>
        </w:rPr>
        <w:t xml:space="preserve"/>
      </w:r>
    </w:p>
    <w:p>
      <w:pPr>
        <w:pStyle w:val="Heading2"/>
        <w:keepNext/>
        <w:spacing w:after="66" w:before="200"/>
      </w:pPr>
      <w:r>
        <w:rPr>
          <w:b/>
          <w:bCs/>
          <w:color w:val="168A92"/>
          <w:sz w:val="22"/>
          <w:szCs w:val="22"/>
        </w:rPr>
        <w:t xml:space="preserve">2.2 Passkey (WebAuthn) binding</w:t>
      </w:r>
    </w:p>
    <w:p>
      <w:pPr>
        <w:spacing w:after="120" w:line="270"/>
      </w:pPr>
      <w:r>
        <w:rPr>
          <w:i w:val="false"/>
          <w:iCs w:val="false"/>
          <w:sz w:val="20"/>
          <w:szCs w:val="20"/>
        </w:rPr>
        <w:t xml:space="preserve">A WebAuthn assertion signs authenticator data together with a hash of clientDataJSON, and clientDataJSON contains the relying-party challenge. To bind the assertion to the agreement rather than to a login event, the challenge MUST be derived from the canonical envelope:</w:t>
      </w:r>
    </w:p>
    <w:p>
      <w:pPr>
        <w:pStyle w:val="ListParagraph"/>
        <w:numPr>
          <w:ilvl w:val="0"/>
          <w:numId w:val="2"/>
        </w:numPr>
        <w:spacing w:after="50" w:line="262"/>
      </w:pPr>
      <w:r>
        <w:rPr>
          <w:sz w:val="20"/>
          <w:szCs w:val="20"/>
        </w:rPr>
        <w:t xml:space="preserve">challenge = hash(canonical_serialisation(envelope)).</w:t>
      </w:r>
    </w:p>
    <w:p>
      <w:pPr>
        <w:pStyle w:val="ListParagraph"/>
        <w:numPr>
          <w:ilvl w:val="0"/>
          <w:numId w:val="2"/>
        </w:numPr>
        <w:spacing w:after="50" w:line="262"/>
      </w:pPr>
      <w:r>
        <w:rPr>
          <w:sz w:val="20"/>
          <w:szCs w:val="20"/>
        </w:rPr>
        <w:t xml:space="preserve">The Passport MUST persist the challenge, clientDataJSON, authenticator data, the signature, and the credential public key and identifier.</w:t>
      </w:r>
    </w:p>
    <w:p>
      <w:pPr>
        <w:pStyle w:val="ListParagraph"/>
        <w:numPr>
          <w:ilvl w:val="0"/>
          <w:numId w:val="2"/>
        </w:numPr>
        <w:spacing w:after="50" w:line="262"/>
      </w:pPr>
      <w:r>
        <w:rPr>
          <w:sz w:val="20"/>
          <w:szCs w:val="20"/>
        </w:rPr>
        <w:t xml:space="preserve">Verification recomputes the envelope hash, confirms it equals the challenge in clientDataJSON, and validates the assertion against the stored credential.</w:t>
      </w:r>
    </w:p>
    <w:p>
      <w:pPr>
        <w:spacing w:after="120" w:line="270"/>
      </w:pPr>
      <w:r>
        <w:rPr>
          <w:i w:val="false"/>
          <w:iCs w:val="false"/>
          <w:sz w:val="20"/>
          <w:szCs w:val="20"/>
        </w:rPr>
        <w:t xml:space="preserve">Without this binding, a passkey proves only that the user authenticated to Xtrata immediately before pressing Approve — not that they signed the specific agreement. This is a normative requirement, not an optimisation.</w:t>
      </w:r>
    </w:p>
    <w:p>
      <w:pPr>
        <w:pStyle w:val="Heading2"/>
        <w:keepNext/>
        <w:spacing w:after="66" w:before="200"/>
      </w:pPr>
      <w:r>
        <w:rPr>
          <w:b/>
          <w:bCs/>
          <w:color w:val="168A92"/>
          <w:sz w:val="22"/>
          <w:szCs w:val="22"/>
        </w:rPr>
        <w:t xml:space="preserve">2.3 Wallet signatures and domain separation</w:t>
      </w:r>
    </w:p>
    <w:p>
      <w:pPr>
        <w:spacing w:after="120" w:line="270"/>
      </w:pPr>
      <w:r>
        <w:rPr>
          <w:i w:val="false"/>
          <w:iCs w:val="false"/>
          <w:sz w:val="20"/>
          <w:szCs w:val="20"/>
        </w:rPr>
        <w:t xml:space="preserve">Wallet (e.g. Stacks) signatures MUST sign the same canonical envelope using a structured, domain-separated message so that a signature cannot be replayed as a different action, on another project, or through another application. The domain MUST include the network, contract reference and app_domain. Implementations SHOULD use the platform’s structured-data signing (typed/structured message) rather than opaque byte signing, and MUST record the exact domain and message that were signed.</w:t>
      </w:r>
    </w:p>
    <w:p>
      <w:pPr>
        <w:pStyle w:val="Heading2"/>
        <w:keepNext/>
        <w:spacing w:after="66" w:before="200"/>
      </w:pPr>
      <w:r>
        <w:rPr>
          <w:b/>
          <w:bCs/>
          <w:color w:val="168A92"/>
          <w:sz w:val="22"/>
          <w:szCs w:val="22"/>
        </w:rPr>
        <w:t xml:space="preserve">2.4 Replay protection</w:t>
      </w:r>
    </w:p>
    <w:p>
      <w:pPr>
        <w:pStyle w:val="ListParagraph"/>
        <w:numPr>
          <w:ilvl w:val="0"/>
          <w:numId w:val="2"/>
        </w:numPr>
        <w:spacing w:after="50" w:line="262"/>
      </w:pPr>
      <w:r>
        <w:rPr>
          <w:sz w:val="20"/>
          <w:szCs w:val="20"/>
        </w:rPr>
        <w:t xml:space="preserve">nonce is single-use and recorded; a repeated nonce for a credential is rejected.</w:t>
      </w:r>
    </w:p>
    <w:p>
      <w:pPr>
        <w:pStyle w:val="ListParagraph"/>
        <w:numPr>
          <w:ilvl w:val="0"/>
          <w:numId w:val="2"/>
        </w:numPr>
        <w:spacing w:after="50" w:line="262"/>
      </w:pPr>
      <w:r>
        <w:rPr>
          <w:sz w:val="20"/>
          <w:szCs w:val="20"/>
        </w:rPr>
        <w:t xml:space="preserve">expiry bounds the window in which an envelope may be submitted.</w:t>
      </w:r>
    </w:p>
    <w:p>
      <w:pPr>
        <w:pStyle w:val="ListParagraph"/>
        <w:numPr>
          <w:ilvl w:val="0"/>
          <w:numId w:val="2"/>
        </w:numPr>
        <w:spacing w:after="50" w:line="262"/>
      </w:pPr>
      <w:r>
        <w:rPr>
          <w:sz w:val="20"/>
          <w:szCs w:val="20"/>
        </w:rPr>
        <w:t xml:space="preserve">network + contract + app_domain provide cross-context separation.</w:t>
      </w:r>
    </w:p>
    <w:p>
      <w:pPr>
        <w:pStyle w:val="ListParagraph"/>
        <w:numPr>
          <w:ilvl w:val="0"/>
          <w:numId w:val="2"/>
        </w:numPr>
        <w:spacing w:after="50" w:line="262"/>
      </w:pPr>
      <w:r>
        <w:rPr>
          <w:sz w:val="20"/>
          <w:szCs w:val="20"/>
        </w:rPr>
        <w:t xml:space="preserve">On-chain actions additionally rely on the contract’s own replay protection (Section 8.3).</w:t>
      </w:r>
    </w:p>
    <w:p>
      <w:pPr>
        <w:pStyle w:val="Heading1"/>
        <w:keepNext/>
        <w:spacing w:after="130" w:before="320"/>
      </w:pPr>
      <w:r>
        <w:rPr>
          <w:b/>
          <w:bCs/>
          <w:color w:val="1F3A5F"/>
          <w:sz w:val="28"/>
          <w:szCs w:val="28"/>
        </w:rPr>
        <w:t xml:space="preserve">3. Multidimensional assurance profile</w:t>
      </w:r>
    </w:p>
    <w:p>
      <w:pPr>
        <w:spacing w:after="120" w:line="270"/>
      </w:pPr>
      <w:r>
        <w:rPr>
          <w:i w:val="false"/>
          <w:iCs w:val="false"/>
          <w:sz w:val="20"/>
          <w:szCs w:val="20"/>
        </w:rPr>
        <w:t xml:space="preserve">Assurance is stored as an independent set of dimensions. The A0–A4 label used in the white paper and interface is a derived summary, never a stored source of truth and never a legal classification.</w:t>
      </w:r>
    </w:p>
    <w:p>
      <w:pPr>
        <w:pStyle w:val="Heading2"/>
        <w:keepNext/>
        <w:spacing w:after="66" w:before="200"/>
      </w:pPr>
      <w:r>
        <w:rPr>
          <w:b/>
          <w:bCs/>
          <w:color w:val="168A92"/>
          <w:sz w:val="22"/>
          <w:szCs w:val="22"/>
        </w:rPr>
        <w:t xml:space="preserve">3.1 Dimensions and states</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4"/>
              <w:left w:type="dxa" w:w="100"/>
              <w:bottom w:type="dxa" w:w="54"/>
              <w:right w:type="dxa" w:w="100"/>
            </w:tcMar>
          </w:tcPr>
          <w:p>
            <w:r>
              <w:rPr>
                <w:b/>
                <w:bCs/>
                <w:color w:val="FFFFFF"/>
                <w:sz w:val="18"/>
                <w:szCs w:val="18"/>
              </w:rPr>
              <w:t xml:space="preserve">Dimension</w:t>
            </w:r>
          </w:p>
        </w:tc>
        <w:tc>
          <w:tcPr>
            <w:tcW w:type="dxa" w:w="6740"/>
            <w:shd w:fill="1F3A5F" w:color="auto" w:val="clear"/>
            <w:tcMar>
              <w:top w:type="dxa" w:w="54"/>
              <w:left w:type="dxa" w:w="100"/>
              <w:bottom w:type="dxa" w:w="54"/>
              <w:right w:type="dxa" w:w="100"/>
            </w:tcMar>
          </w:tcPr>
          <w:p>
            <w:r>
              <w:rPr>
                <w:b/>
                <w:bCs/>
                <w:color w:val="FFFFFF"/>
                <w:sz w:val="18"/>
                <w:szCs w:val="18"/>
              </w:rPr>
              <w:t xml:space="preserve">States (low → high)</w:t>
            </w:r>
          </w:p>
        </w:tc>
      </w:tr>
      <w:tr>
        <w:tc>
          <w:tcPr>
            <w:tcW w:type="dxa" w:w="3400"/>
            <w:tcMar>
              <w:top w:type="dxa" w:w="54"/>
              <w:left w:type="dxa" w:w="100"/>
              <w:bottom w:type="dxa" w:w="54"/>
              <w:right w:type="dxa" w:w="100"/>
            </w:tcMar>
          </w:tcPr>
          <w:p>
            <w:r>
              <w:rPr>
                <w:sz w:val="18"/>
                <w:szCs w:val="18"/>
              </w:rPr>
              <w:t xml:space="preserve">credential_control</w:t>
            </w:r>
          </w:p>
        </w:tc>
        <w:tc>
          <w:tcPr>
            <w:tcW w:type="dxa" w:w="6740"/>
            <w:tcMar>
              <w:top w:type="dxa" w:w="54"/>
              <w:left w:type="dxa" w:w="100"/>
              <w:bottom w:type="dxa" w:w="54"/>
              <w:right w:type="dxa" w:w="100"/>
            </w:tcMar>
          </w:tcPr>
          <w:p>
            <w:r>
              <w:rPr>
                <w:sz w:val="18"/>
                <w:szCs w:val="18"/>
              </w:rPr>
              <w:t xml:space="preserve">unverified · contact-controlled · cryptographically-controlled</w:t>
            </w:r>
          </w:p>
        </w:tc>
      </w:tr>
      <w:tr>
        <w:tc>
          <w:tcPr>
            <w:tcW w:type="dxa" w:w="3400"/>
            <w:shd w:fill="F3F5F7" w:color="auto" w:val="clear"/>
            <w:tcMar>
              <w:top w:type="dxa" w:w="54"/>
              <w:left w:type="dxa" w:w="100"/>
              <w:bottom w:type="dxa" w:w="54"/>
              <w:right w:type="dxa" w:w="100"/>
            </w:tcMar>
          </w:tcPr>
          <w:p>
            <w:r>
              <w:rPr>
                <w:sz w:val="18"/>
                <w:szCs w:val="18"/>
              </w:rPr>
              <w:t xml:space="preserve">identity_proofing</w:t>
            </w:r>
          </w:p>
        </w:tc>
        <w:tc>
          <w:tcPr>
            <w:tcW w:type="dxa" w:w="6740"/>
            <w:shd w:fill="F3F5F7" w:color="auto" w:val="clear"/>
            <w:tcMar>
              <w:top w:type="dxa" w:w="54"/>
              <w:left w:type="dxa" w:w="100"/>
              <w:bottom w:type="dxa" w:w="54"/>
              <w:right w:type="dxa" w:w="100"/>
            </w:tcMar>
          </w:tcPr>
          <w:p>
            <w:r>
              <w:rPr>
                <w:sz w:val="18"/>
                <w:szCs w:val="18"/>
              </w:rPr>
              <w:t xml:space="preserve">none · asserted · independently-verified</w:t>
            </w:r>
          </w:p>
        </w:tc>
      </w:tr>
      <w:tr>
        <w:tc>
          <w:tcPr>
            <w:tcW w:type="dxa" w:w="3400"/>
            <w:tcMar>
              <w:top w:type="dxa" w:w="54"/>
              <w:left w:type="dxa" w:w="100"/>
              <w:bottom w:type="dxa" w:w="54"/>
              <w:right w:type="dxa" w:w="100"/>
            </w:tcMar>
          </w:tcPr>
          <w:p>
            <w:r>
              <w:rPr>
                <w:sz w:val="18"/>
                <w:szCs w:val="18"/>
              </w:rPr>
              <w:t xml:space="preserve">authority</w:t>
            </w:r>
          </w:p>
        </w:tc>
        <w:tc>
          <w:tcPr>
            <w:tcW w:type="dxa" w:w="6740"/>
            <w:tcMar>
              <w:top w:type="dxa" w:w="54"/>
              <w:left w:type="dxa" w:w="100"/>
              <w:bottom w:type="dxa" w:w="54"/>
              <w:right w:type="dxa" w:w="100"/>
            </w:tcMar>
          </w:tcPr>
          <w:p>
            <w:r>
              <w:rPr>
                <w:sz w:val="18"/>
                <w:szCs w:val="18"/>
              </w:rPr>
              <w:t xml:space="preserve">personal · asserted-representative · verified-representative</w:t>
            </w:r>
          </w:p>
        </w:tc>
      </w:tr>
      <w:tr>
        <w:tc>
          <w:tcPr>
            <w:tcW w:type="dxa" w:w="3400"/>
            <w:shd w:fill="F3F5F7" w:color="auto" w:val="clear"/>
            <w:tcMar>
              <w:top w:type="dxa" w:w="54"/>
              <w:left w:type="dxa" w:w="100"/>
              <w:bottom w:type="dxa" w:w="54"/>
              <w:right w:type="dxa" w:w="100"/>
            </w:tcMar>
          </w:tcPr>
          <w:p>
            <w:r>
              <w:rPr>
                <w:sz w:val="18"/>
                <w:szCs w:val="18"/>
              </w:rPr>
              <w:t xml:space="preserve">signing_ceremony</w:t>
            </w:r>
          </w:p>
        </w:tc>
        <w:tc>
          <w:tcPr>
            <w:tcW w:type="dxa" w:w="6740"/>
            <w:shd w:fill="F3F5F7" w:color="auto" w:val="clear"/>
            <w:tcMar>
              <w:top w:type="dxa" w:w="54"/>
              <w:left w:type="dxa" w:w="100"/>
              <w:bottom w:type="dxa" w:w="54"/>
              <w:right w:type="dxa" w:w="100"/>
            </w:tcMar>
          </w:tcPr>
          <w:p>
            <w:r>
              <w:rPr>
                <w:sz w:val="18"/>
                <w:szCs w:val="18"/>
              </w:rPr>
              <w:t xml:space="preserve">login-only · payload-bound · qualified-process</w:t>
            </w:r>
          </w:p>
        </w:tc>
      </w:tr>
      <w:tr>
        <w:tc>
          <w:tcPr>
            <w:tcW w:type="dxa" w:w="3400"/>
            <w:tcMar>
              <w:top w:type="dxa" w:w="54"/>
              <w:left w:type="dxa" w:w="100"/>
              <w:bottom w:type="dxa" w:w="54"/>
              <w:right w:type="dxa" w:w="100"/>
            </w:tcMar>
          </w:tcPr>
          <w:p>
            <w:r>
              <w:rPr>
                <w:sz w:val="18"/>
                <w:szCs w:val="18"/>
              </w:rPr>
              <w:t xml:space="preserve">provider_status</w:t>
            </w:r>
          </w:p>
        </w:tc>
        <w:tc>
          <w:tcPr>
            <w:tcW w:type="dxa" w:w="6740"/>
            <w:tcMar>
              <w:top w:type="dxa" w:w="54"/>
              <w:left w:type="dxa" w:w="100"/>
              <w:bottom w:type="dxa" w:w="54"/>
              <w:right w:type="dxa" w:w="100"/>
            </w:tcMar>
          </w:tcPr>
          <w:p>
            <w:r>
              <w:rPr>
                <w:sz w:val="18"/>
                <w:szCs w:val="18"/>
              </w:rPr>
              <w:t xml:space="preserve">self-issued · registered-provider · qualified-trust-provider</w:t>
            </w:r>
          </w:p>
        </w:tc>
      </w:tr>
    </w:tbl>
    <w:p>
      <w:pPr>
        <w:spacing w:after="60"/>
      </w:pPr>
      <w:r>
        <w:rPr>
          <w:sz w:val="6"/>
          <w:szCs w:val="6"/>
        </w:rPr>
        <w:t xml:space="preserve"/>
      </w:r>
    </w:p>
    <w:p>
      <w:pPr>
        <w:pStyle w:val="Heading2"/>
        <w:keepNext/>
        <w:spacing w:after="66" w:before="200"/>
      </w:pPr>
      <w:r>
        <w:rPr>
          <w:b/>
          <w:bCs/>
          <w:color w:val="168A92"/>
          <w:sz w:val="22"/>
          <w:szCs w:val="22"/>
        </w:rPr>
        <w:t xml:space="preserve">3.2 Deriving the label and permitted wording</w:t>
      </w:r>
    </w:p>
    <w:p>
      <w:pPr>
        <w:spacing w:after="120" w:line="270"/>
      </w:pPr>
      <w:r>
        <w:rPr>
          <w:i w:val="false"/>
          <w:iCs w:val="false"/>
          <w:sz w:val="20"/>
          <w:szCs w:val="20"/>
        </w:rPr>
        <w:t xml:space="preserve">The label is a convenience mapping over the profile, used only for a compact signal. Indicative derivation and the wording each level may use: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740"/>
      </w:tblGrid>
      <w:tr>
        <w:trPr>
          <w:tblHeader/>
        </w:trPr>
        <w:tc>
          <w:tcPr>
            <w:tcW w:type="dxa" w:w="1200"/>
            <w:shd w:fill="1F3A5F" w:color="auto" w:val="clear"/>
            <w:tcMar>
              <w:top w:type="dxa" w:w="54"/>
              <w:left w:type="dxa" w:w="100"/>
              <w:bottom w:type="dxa" w:w="54"/>
              <w:right w:type="dxa" w:w="100"/>
            </w:tcMar>
          </w:tcPr>
          <w:p>
            <w:r>
              <w:rPr>
                <w:b/>
                <w:bCs/>
                <w:color w:val="FFFFFF"/>
                <w:sz w:val="18"/>
                <w:szCs w:val="18"/>
              </w:rPr>
              <w:t xml:space="preserve">Label</w:t>
            </w:r>
          </w:p>
        </w:tc>
        <w:tc>
          <w:tcPr>
            <w:tcW w:type="dxa" w:w="5200"/>
            <w:shd w:fill="1F3A5F" w:color="auto" w:val="clear"/>
            <w:tcMar>
              <w:top w:type="dxa" w:w="54"/>
              <w:left w:type="dxa" w:w="100"/>
              <w:bottom w:type="dxa" w:w="54"/>
              <w:right w:type="dxa" w:w="100"/>
            </w:tcMar>
          </w:tcPr>
          <w:p>
            <w:r>
              <w:rPr>
                <w:b/>
                <w:bCs/>
                <w:color w:val="FFFFFF"/>
                <w:sz w:val="18"/>
                <w:szCs w:val="18"/>
              </w:rPr>
              <w:t xml:space="preserve">Derived when</w:t>
            </w:r>
          </w:p>
        </w:tc>
        <w:tc>
          <w:tcPr>
            <w:tcW w:type="dxa" w:w="3740"/>
            <w:shd w:fill="1F3A5F" w:color="auto" w:val="clear"/>
            <w:tcMar>
              <w:top w:type="dxa" w:w="54"/>
              <w:left w:type="dxa" w:w="100"/>
              <w:bottom w:type="dxa" w:w="54"/>
              <w:right w:type="dxa" w:w="100"/>
            </w:tcMar>
          </w:tcPr>
          <w:p>
            <w:r>
              <w:rPr>
                <w:b/>
                <w:bCs/>
                <w:color w:val="FFFFFF"/>
                <w:sz w:val="18"/>
                <w:szCs w:val="18"/>
              </w:rPr>
              <w:t xml:space="preserve">Permitted wording</w:t>
            </w:r>
          </w:p>
        </w:tc>
      </w:tr>
      <w:tr>
        <w:tc>
          <w:tcPr>
            <w:tcW w:type="dxa" w:w="1200"/>
            <w:tcMar>
              <w:top w:type="dxa" w:w="54"/>
              <w:left w:type="dxa" w:w="100"/>
              <w:bottom w:type="dxa" w:w="54"/>
              <w:right w:type="dxa" w:w="100"/>
            </w:tcMar>
          </w:tcPr>
          <w:p>
            <w:r>
              <w:rPr>
                <w:sz w:val="18"/>
                <w:szCs w:val="18"/>
              </w:rPr>
              <w:t xml:space="preserve">A0</w:t>
            </w:r>
          </w:p>
        </w:tc>
        <w:tc>
          <w:tcPr>
            <w:tcW w:type="dxa" w:w="5200"/>
            <w:tcMar>
              <w:top w:type="dxa" w:w="54"/>
              <w:left w:type="dxa" w:w="100"/>
              <w:bottom w:type="dxa" w:w="54"/>
              <w:right w:type="dxa" w:w="100"/>
            </w:tcMar>
          </w:tcPr>
          <w:p>
            <w:r>
              <w:rPr>
                <w:sz w:val="18"/>
                <w:szCs w:val="18"/>
              </w:rPr>
              <w:t xml:space="preserve">credential_control = unverified</w:t>
            </w:r>
          </w:p>
        </w:tc>
        <w:tc>
          <w:tcPr>
            <w:tcW w:type="dxa" w:w="3740"/>
            <w:tcMar>
              <w:top w:type="dxa" w:w="54"/>
              <w:left w:type="dxa" w:w="100"/>
              <w:bottom w:type="dxa" w:w="54"/>
              <w:right w:type="dxa" w:w="100"/>
            </w:tcMar>
          </w:tcPr>
          <w:p>
            <w:r>
              <w:rPr>
                <w:sz w:val="18"/>
                <w:szCs w:val="18"/>
              </w:rPr>
              <w:t xml:space="preserve">Recorded</w:t>
            </w:r>
          </w:p>
        </w:tc>
      </w:tr>
      <w:tr>
        <w:tc>
          <w:tcPr>
            <w:tcW w:type="dxa" w:w="1200"/>
            <w:shd w:fill="F3F5F7" w:color="auto" w:val="clear"/>
            <w:tcMar>
              <w:top w:type="dxa" w:w="54"/>
              <w:left w:type="dxa" w:w="100"/>
              <w:bottom w:type="dxa" w:w="54"/>
              <w:right w:type="dxa" w:w="100"/>
            </w:tcMar>
          </w:tcPr>
          <w:p>
            <w:r>
              <w:rPr>
                <w:sz w:val="18"/>
                <w:szCs w:val="18"/>
              </w:rPr>
              <w:t xml:space="preserve">A1</w:t>
            </w:r>
          </w:p>
        </w:tc>
        <w:tc>
          <w:tcPr>
            <w:tcW w:type="dxa" w:w="5200"/>
            <w:shd w:fill="F3F5F7" w:color="auto" w:val="clear"/>
            <w:tcMar>
              <w:top w:type="dxa" w:w="54"/>
              <w:left w:type="dxa" w:w="100"/>
              <w:bottom w:type="dxa" w:w="54"/>
              <w:right w:type="dxa" w:w="100"/>
            </w:tcMar>
          </w:tcPr>
          <w:p>
            <w:r>
              <w:rPr>
                <w:sz w:val="18"/>
                <w:szCs w:val="18"/>
              </w:rPr>
              <w:t xml:space="preserve">credential_control = contact-controlled</w:t>
            </w:r>
          </w:p>
        </w:tc>
        <w:tc>
          <w:tcPr>
            <w:tcW w:type="dxa" w:w="3740"/>
            <w:shd w:fill="F3F5F7" w:color="auto" w:val="clear"/>
            <w:tcMar>
              <w:top w:type="dxa" w:w="54"/>
              <w:left w:type="dxa" w:w="100"/>
              <w:bottom w:type="dxa" w:w="54"/>
              <w:right w:type="dxa" w:w="100"/>
            </w:tcMar>
          </w:tcPr>
          <w:p>
            <w:r>
              <w:rPr>
                <w:sz w:val="18"/>
                <w:szCs w:val="18"/>
              </w:rPr>
              <w:t xml:space="preserve">Acknowledged</w:t>
            </w:r>
          </w:p>
        </w:tc>
      </w:tr>
      <w:tr>
        <w:tc>
          <w:tcPr>
            <w:tcW w:type="dxa" w:w="1200"/>
            <w:tcMar>
              <w:top w:type="dxa" w:w="54"/>
              <w:left w:type="dxa" w:w="100"/>
              <w:bottom w:type="dxa" w:w="54"/>
              <w:right w:type="dxa" w:w="100"/>
            </w:tcMar>
          </w:tcPr>
          <w:p>
            <w:r>
              <w:rPr>
                <w:sz w:val="18"/>
                <w:szCs w:val="18"/>
              </w:rPr>
              <w:t xml:space="preserve">A2</w:t>
            </w:r>
          </w:p>
        </w:tc>
        <w:tc>
          <w:tcPr>
            <w:tcW w:type="dxa" w:w="5200"/>
            <w:tcMar>
              <w:top w:type="dxa" w:w="54"/>
              <w:left w:type="dxa" w:w="100"/>
              <w:bottom w:type="dxa" w:w="54"/>
              <w:right w:type="dxa" w:w="100"/>
            </w:tcMar>
          </w:tcPr>
          <w:p>
            <w:r>
              <w:rPr>
                <w:sz w:val="18"/>
                <w:szCs w:val="18"/>
              </w:rPr>
              <w:t xml:space="preserve">credential_control = cryptographically-controlled; identity_proofing &lt; verified</w:t>
            </w:r>
          </w:p>
        </w:tc>
        <w:tc>
          <w:tcPr>
            <w:tcW w:type="dxa" w:w="3740"/>
            <w:tcMar>
              <w:top w:type="dxa" w:w="54"/>
              <w:left w:type="dxa" w:w="100"/>
              <w:bottom w:type="dxa" w:w="54"/>
              <w:right w:type="dxa" w:w="100"/>
            </w:tcMar>
          </w:tcPr>
          <w:p>
            <w:r>
              <w:rPr>
                <w:sz w:val="18"/>
                <w:szCs w:val="18"/>
              </w:rPr>
              <w:t xml:space="preserve">Cryptographically signed</w:t>
            </w:r>
          </w:p>
        </w:tc>
      </w:tr>
      <w:tr>
        <w:tc>
          <w:tcPr>
            <w:tcW w:type="dxa" w:w="1200"/>
            <w:shd w:fill="F3F5F7" w:color="auto" w:val="clear"/>
            <w:tcMar>
              <w:top w:type="dxa" w:w="54"/>
              <w:left w:type="dxa" w:w="100"/>
              <w:bottom w:type="dxa" w:w="54"/>
              <w:right w:type="dxa" w:w="100"/>
            </w:tcMar>
          </w:tcPr>
          <w:p>
            <w:r>
              <w:rPr>
                <w:sz w:val="18"/>
                <w:szCs w:val="18"/>
              </w:rPr>
              <w:t xml:space="preserve">A3</w:t>
            </w:r>
          </w:p>
        </w:tc>
        <w:tc>
          <w:tcPr>
            <w:tcW w:type="dxa" w:w="5200"/>
            <w:shd w:fill="F3F5F7" w:color="auto" w:val="clear"/>
            <w:tcMar>
              <w:top w:type="dxa" w:w="54"/>
              <w:left w:type="dxa" w:w="100"/>
              <w:bottom w:type="dxa" w:w="54"/>
              <w:right w:type="dxa" w:w="100"/>
            </w:tcMar>
          </w:tcPr>
          <w:p>
            <w:r>
              <w:rPr>
                <w:sz w:val="18"/>
                <w:szCs w:val="18"/>
              </w:rPr>
              <w:t xml:space="preserve">identity_proofing = independently-verified; authority = personal</w:t>
            </w:r>
          </w:p>
        </w:tc>
        <w:tc>
          <w:tcPr>
            <w:tcW w:type="dxa" w:w="3740"/>
            <w:shd w:fill="F3F5F7" w:color="auto" w:val="clear"/>
            <w:tcMar>
              <w:top w:type="dxa" w:w="54"/>
              <w:left w:type="dxa" w:w="100"/>
              <w:bottom w:type="dxa" w:w="54"/>
              <w:right w:type="dxa" w:w="100"/>
            </w:tcMar>
          </w:tcPr>
          <w:p>
            <w:r>
              <w:rPr>
                <w:sz w:val="18"/>
                <w:szCs w:val="18"/>
              </w:rPr>
              <w:t xml:space="preserve">Identity verified and signed</w:t>
            </w:r>
          </w:p>
        </w:tc>
      </w:tr>
      <w:tr>
        <w:tc>
          <w:tcPr>
            <w:tcW w:type="dxa" w:w="1200"/>
            <w:tcMar>
              <w:top w:type="dxa" w:w="54"/>
              <w:left w:type="dxa" w:w="100"/>
              <w:bottom w:type="dxa" w:w="54"/>
              <w:right w:type="dxa" w:w="100"/>
            </w:tcMar>
          </w:tcPr>
          <w:p>
            <w:r>
              <w:rPr>
                <w:sz w:val="18"/>
                <w:szCs w:val="18"/>
              </w:rPr>
              <w:t xml:space="preserve">A4</w:t>
            </w:r>
          </w:p>
        </w:tc>
        <w:tc>
          <w:tcPr>
            <w:tcW w:type="dxa" w:w="5200"/>
            <w:tcMar>
              <w:top w:type="dxa" w:w="54"/>
              <w:left w:type="dxa" w:w="100"/>
              <w:bottom w:type="dxa" w:w="54"/>
              <w:right w:type="dxa" w:w="100"/>
            </w:tcMar>
          </w:tcPr>
          <w:p>
            <w:r>
              <w:rPr>
                <w:sz w:val="18"/>
                <w:szCs w:val="18"/>
              </w:rPr>
              <w:t xml:space="preserve">authority = verified-representative</w:t>
            </w:r>
          </w:p>
        </w:tc>
        <w:tc>
          <w:tcPr>
            <w:tcW w:type="dxa" w:w="3740"/>
            <w:tcMar>
              <w:top w:type="dxa" w:w="54"/>
              <w:left w:type="dxa" w:w="100"/>
              <w:bottom w:type="dxa" w:w="54"/>
              <w:right w:type="dxa" w:w="100"/>
            </w:tcMar>
          </w:tcPr>
          <w:p>
            <w:r>
              <w:rPr>
                <w:sz w:val="18"/>
                <w:szCs w:val="18"/>
              </w:rPr>
              <w:t xml:space="preserve">Authority verified and approved</w:t>
            </w:r>
          </w:p>
        </w:tc>
      </w:tr>
    </w:tbl>
    <w:p>
      <w:pPr>
        <w:spacing w:after="60"/>
      </w:pPr>
      <w:r>
        <w:rPr>
          <w:sz w:val="6"/>
          <w:szCs w:val="6"/>
        </w:rPr>
        <w:t xml:space="preserve"/>
      </w:r>
    </w:p>
    <w:p>
      <w:pPr>
        <w:spacing w:after="120" w:line="270"/>
      </w:pPr>
      <w:r>
        <w:rPr>
          <w:i w:val="false"/>
          <w:iCs w:val="false"/>
          <w:sz w:val="20"/>
          <w:szCs w:val="20"/>
        </w:rPr>
        <w:t xml:space="preserve">The label MUST NOT be shown without access to the underlying profile, and the profile — not the label — is what is stored, exported and anchored. Two profiles that map to the same label may differ materially (for example, an A3 personal signer versus a different A3 configuration), so relying parties consume the profile.</w:t>
      </w:r>
    </w:p>
    <w:p>
      <w:pPr>
        <w:pStyle w:val="Heading2"/>
        <w:keepNext/>
        <w:spacing w:after="66" w:before="200"/>
      </w:pPr>
      <w:r>
        <w:rPr>
          <w:b/>
          <w:bCs/>
          <w:color w:val="168A92"/>
          <w:sz w:val="22"/>
          <w:szCs w:val="22"/>
        </w:rPr>
        <w:t xml:space="preserve">3.3 Identity Provider Profiles</w:t>
      </w:r>
    </w:p>
    <w:p>
      <w:pPr>
        <w:spacing w:after="120" w:line="270"/>
      </w:pPr>
      <w:r>
        <w:rPr>
          <w:i w:val="false"/>
          <w:iCs w:val="false"/>
          <w:sz w:val="20"/>
          <w:szCs w:val="20"/>
        </w:rPr>
        <w:t xml:space="preserve">independently-verified identity and verified-representative authority are only valid when issued under a published Identity Provider Profile. A profile records:</w:t>
      </w:r>
    </w:p>
    <w:p>
      <w:pPr>
        <w:pStyle w:val="ListParagraph"/>
        <w:numPr>
          <w:ilvl w:val="0"/>
          <w:numId w:val="2"/>
        </w:numPr>
        <w:spacing w:after="50" w:line="262"/>
      </w:pPr>
      <w:r>
        <w:rPr>
          <w:sz w:val="20"/>
          <w:szCs w:val="20"/>
        </w:rPr>
        <w:t xml:space="preserve">issuer identity and profile version;</w:t>
      </w:r>
    </w:p>
    <w:p>
      <w:pPr>
        <w:pStyle w:val="ListParagraph"/>
        <w:numPr>
          <w:ilvl w:val="0"/>
          <w:numId w:val="2"/>
        </w:numPr>
        <w:spacing w:after="50" w:line="262"/>
      </w:pPr>
      <w:r>
        <w:rPr>
          <w:sz w:val="20"/>
          <w:szCs w:val="20"/>
        </w:rPr>
        <w:t xml:space="preserve">verification method, jurisdiction and evidence categories checked;</w:t>
      </w:r>
    </w:p>
    <w:p>
      <w:pPr>
        <w:pStyle w:val="ListParagraph"/>
        <w:numPr>
          <w:ilvl w:val="0"/>
          <w:numId w:val="2"/>
        </w:numPr>
        <w:spacing w:after="50" w:line="262"/>
      </w:pPr>
      <w:r>
        <w:rPr>
          <w:sz w:val="20"/>
          <w:szCs w:val="20"/>
        </w:rPr>
        <w:t xml:space="preserve">binding method (how the verified identity is tied to the credential);</w:t>
      </w:r>
    </w:p>
    <w:p>
      <w:pPr>
        <w:pStyle w:val="ListParagraph"/>
        <w:numPr>
          <w:ilvl w:val="0"/>
          <w:numId w:val="2"/>
        </w:numPr>
        <w:spacing w:after="50" w:line="262"/>
      </w:pPr>
      <w:r>
        <w:rPr>
          <w:sz w:val="20"/>
          <w:szCs w:val="20"/>
        </w:rPr>
        <w:t xml:space="preserve">verification date, expiry or re-verification requirement;</w:t>
      </w:r>
    </w:p>
    <w:p>
      <w:pPr>
        <w:pStyle w:val="ListParagraph"/>
        <w:numPr>
          <w:ilvl w:val="0"/>
          <w:numId w:val="2"/>
        </w:numPr>
        <w:spacing w:after="50" w:line="262"/>
      </w:pPr>
      <w:r>
        <w:rPr>
          <w:sz w:val="20"/>
          <w:szCs w:val="20"/>
        </w:rPr>
        <w:t xml:space="preserve">for authority: represented party, role, source and limits of authority, delegation and expiry;</w:t>
      </w:r>
    </w:p>
    <w:p>
      <w:pPr>
        <w:pStyle w:val="ListParagraph"/>
        <w:numPr>
          <w:ilvl w:val="0"/>
          <w:numId w:val="2"/>
        </w:numPr>
        <w:spacing w:after="50" w:line="262"/>
      </w:pPr>
      <w:r>
        <w:rPr>
          <w:sz w:val="20"/>
          <w:szCs w:val="20"/>
        </w:rPr>
        <w:t xml:space="preserve">revocation route and status.</w:t>
      </w:r>
    </w:p>
    <w:p>
      <w:pPr>
        <w:spacing w:after="120" w:line="270"/>
      </w:pPr>
      <w:r>
        <w:rPr>
          <w:i w:val="false"/>
          <w:iCs w:val="false"/>
          <w:sz w:val="20"/>
          <w:szCs w:val="20"/>
        </w:rPr>
        <w:t xml:space="preserve">The Passport stores the issuer, profile version, timestamp and status; source documents remain with the verifier (Section 7). Xtrata’s own assertion is never self-authenticating: a rights body or court resolves the profile and applies its own acceptance policy.</w:t>
      </w:r>
    </w:p>
    <w:p>
      <w:pPr>
        <w:pStyle w:val="Heading1"/>
        <w:keepNext/>
        <w:spacing w:after="130" w:before="320"/>
      </w:pPr>
      <w:r>
        <w:rPr>
          <w:b/>
          <w:bCs/>
          <w:color w:val="1F3A5F"/>
          <w:sz w:val="28"/>
          <w:szCs w:val="28"/>
        </w:rPr>
        <w:t xml:space="preserve">4. Canonical project state and hashing</w:t>
      </w:r>
    </w:p>
    <w:p>
      <w:pPr>
        <w:pStyle w:val="Heading2"/>
        <w:keepNext/>
        <w:spacing w:after="66" w:before="200"/>
      </w:pPr>
      <w:r>
        <w:rPr>
          <w:b/>
          <w:bCs/>
          <w:color w:val="168A92"/>
          <w:sz w:val="22"/>
          <w:szCs w:val="22"/>
        </w:rPr>
        <w:t xml:space="preserve">4.1 Three proofs</w:t>
      </w:r>
    </w:p>
    <w:p>
      <w:pPr>
        <w:pStyle w:val="ListParagraph"/>
        <w:numPr>
          <w:ilvl w:val="0"/>
          <w:numId w:val="2"/>
        </w:numPr>
        <w:spacing w:after="50" w:line="262"/>
      </w:pPr>
      <w:r>
        <w:rPr>
          <w:sz w:val="20"/>
          <w:szCs w:val="20"/>
        </w:rPr>
        <w:t xml:space="preserve">Exact snapshot hash — the exact bytes of a captured package or archive.</w:t>
      </w:r>
    </w:p>
    <w:p>
      <w:pPr>
        <w:pStyle w:val="ListParagraph"/>
        <w:numPr>
          <w:ilvl w:val="0"/>
          <w:numId w:val="2"/>
        </w:numPr>
        <w:spacing w:after="50" w:line="262"/>
      </w:pPr>
      <w:r>
        <w:rPr>
          <w:sz w:val="20"/>
          <w:szCs w:val="20"/>
        </w:rPr>
        <w:t xml:space="preserve">Canonical state hash — a normalised representation under a validated, version-pinned DAW adapter.</w:t>
      </w:r>
    </w:p>
    <w:p>
      <w:pPr>
        <w:pStyle w:val="ListParagraph"/>
        <w:numPr>
          <w:ilvl w:val="0"/>
          <w:numId w:val="2"/>
        </w:numPr>
        <w:spacing w:after="50" w:line="262"/>
      </w:pPr>
      <w:r>
        <w:rPr>
          <w:sz w:val="20"/>
          <w:szCs w:val="20"/>
        </w:rPr>
        <w:t xml:space="preserve">Asset root and event summary — the referenced media set plus a human-readable account of detected change.</w:t>
      </w:r>
    </w:p>
    <w:p>
      <w:pPr>
        <w:pStyle w:val="Heading2"/>
        <w:keepNext/>
        <w:spacing w:after="66" w:before="200"/>
      </w:pPr>
      <w:r>
        <w:rPr>
          <w:b/>
          <w:bCs/>
          <w:color w:val="168A92"/>
          <w:sz w:val="22"/>
          <w:szCs w:val="22"/>
        </w:rPr>
        <w:t xml:space="preserve">4.2 Canonicalisation pipeline</w:t>
      </w:r>
    </w:p>
    <w:p>
      <w:pPr>
        <w:pStyle w:val="ListParagraph"/>
        <w:numPr>
          <w:ilvl w:val="0"/>
          <w:numId w:val="3"/>
        </w:numPr>
        <w:spacing w:after="50" w:line="262"/>
      </w:pPr>
      <w:r>
        <w:rPr>
          <w:sz w:val="20"/>
          <w:szCs w:val="20"/>
        </w:rPr>
        <w:t xml:space="preserve">Detect a stable save using a debounce period and file-lock checks.</w:t>
      </w:r>
    </w:p>
    <w:p>
      <w:pPr>
        <w:pStyle w:val="ListParagraph"/>
        <w:numPr>
          <w:ilvl w:val="0"/>
          <w:numId w:val="3"/>
        </w:numPr>
        <w:spacing w:after="50" w:line="262"/>
      </w:pPr>
      <w:r>
        <w:rPr>
          <w:sz w:val="20"/>
          <w:szCs w:val="20"/>
        </w:rPr>
        <w:t xml:space="preserve">Create a read-consistent snapshot or package copy.</w:t>
      </w:r>
    </w:p>
    <w:p>
      <w:pPr>
        <w:pStyle w:val="ListParagraph"/>
        <w:numPr>
          <w:ilvl w:val="0"/>
          <w:numId w:val="3"/>
        </w:numPr>
        <w:spacing w:after="50" w:line="262"/>
      </w:pPr>
      <w:r>
        <w:rPr>
          <w:sz w:val="20"/>
          <w:szCs w:val="20"/>
        </w:rPr>
        <w:t xml:space="preserve">Inventory project files, referenced media and external dependencies.</w:t>
      </w:r>
    </w:p>
    <w:p>
      <w:pPr>
        <w:pStyle w:val="ListParagraph"/>
        <w:numPr>
          <w:ilvl w:val="0"/>
          <w:numId w:val="3"/>
        </w:numPr>
        <w:spacing w:after="50" w:line="262"/>
      </w:pPr>
      <w:r>
        <w:rPr>
          <w:sz w:val="20"/>
          <w:szCs w:val="20"/>
        </w:rPr>
        <w:t xml:space="preserve">Apply the version-pinned adapter and component profiles; classify each entry as canonical content, stable opaque content, known-nondeterministic content, ignored transient data, or unresolved dependency.</w:t>
      </w:r>
    </w:p>
    <w:p>
      <w:pPr>
        <w:pStyle w:val="ListParagraph"/>
        <w:numPr>
          <w:ilvl w:val="0"/>
          <w:numId w:val="3"/>
        </w:numPr>
        <w:spacing w:after="50" w:line="262"/>
      </w:pPr>
      <w:r>
        <w:rPr>
          <w:sz w:val="20"/>
          <w:szCs w:val="20"/>
        </w:rPr>
        <w:t xml:space="preserve">Normalise paths, ordering, timestamps, encodings and supported structured fields.</w:t>
      </w:r>
    </w:p>
    <w:p>
      <w:pPr>
        <w:pStyle w:val="ListParagraph"/>
        <w:numPr>
          <w:ilvl w:val="0"/>
          <w:numId w:val="3"/>
        </w:numPr>
        <w:spacing w:after="50" w:line="262"/>
      </w:pPr>
      <w:r>
        <w:rPr>
          <w:sz w:val="20"/>
          <w:szCs w:val="20"/>
        </w:rPr>
        <w:t xml:space="preserve">Retain a raw hash for every included component; compute canonical component hashes only under validated rules; derive the project structure root, opaque-state root and asset root.</w:t>
      </w:r>
    </w:p>
    <w:p>
      <w:pPr>
        <w:pStyle w:val="ListParagraph"/>
        <w:numPr>
          <w:ilvl w:val="0"/>
          <w:numId w:val="3"/>
        </w:numPr>
        <w:spacing w:after="50" w:line="262"/>
      </w:pPr>
      <w:r>
        <w:rPr>
          <w:sz w:val="20"/>
          <w:szCs w:val="20"/>
        </w:rPr>
        <w:t xml:space="preserve">Serialise a deterministic manifest, link it to the previous checkpoint, and sign it locally.</w:t>
      </w:r>
    </w:p>
    <w:p>
      <w:pPr>
        <w:pStyle w:val="Heading2"/>
        <w:keepNext/>
        <w:spacing w:after="66" w:before="200"/>
      </w:pPr>
      <w:r>
        <w:rPr>
          <w:b/>
          <w:bCs/>
          <w:color w:val="168A92"/>
          <w:sz w:val="22"/>
          <w:szCs w:val="22"/>
        </w:rPr>
        <w:t xml:space="preserve">4.3 Inclusion and exclusion profiles</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4"/>
              <w:left w:type="dxa" w:w="100"/>
              <w:bottom w:type="dxa" w:w="54"/>
              <w:right w:type="dxa" w:w="100"/>
            </w:tcMar>
          </w:tcPr>
          <w:p>
            <w:r>
              <w:rPr>
                <w:b/>
                <w:bCs/>
                <w:color w:val="FFFFFF"/>
                <w:sz w:val="18"/>
                <w:szCs w:val="18"/>
              </w:rPr>
              <w:t xml:space="preserve">Category</w:t>
            </w:r>
          </w:p>
        </w:tc>
        <w:tc>
          <w:tcPr>
            <w:tcW w:type="dxa" w:w="6740"/>
            <w:shd w:fill="1F3A5F" w:color="auto" w:val="clear"/>
            <w:tcMar>
              <w:top w:type="dxa" w:w="54"/>
              <w:left w:type="dxa" w:w="100"/>
              <w:bottom w:type="dxa" w:w="54"/>
              <w:right w:type="dxa" w:w="100"/>
            </w:tcMar>
          </w:tcPr>
          <w:p>
            <w:r>
              <w:rPr>
                <w:b/>
                <w:bCs/>
                <w:color w:val="FFFFFF"/>
                <w:sz w:val="18"/>
                <w:szCs w:val="18"/>
              </w:rPr>
              <w:t xml:space="preserve">Default treatment</w:t>
            </w:r>
          </w:p>
        </w:tc>
      </w:tr>
      <w:tr>
        <w:tc>
          <w:tcPr>
            <w:tcW w:type="dxa" w:w="3400"/>
            <w:tcMar>
              <w:top w:type="dxa" w:w="54"/>
              <w:left w:type="dxa" w:w="100"/>
              <w:bottom w:type="dxa" w:w="54"/>
              <w:right w:type="dxa" w:w="100"/>
            </w:tcMar>
          </w:tcPr>
          <w:p>
            <w:r>
              <w:rPr>
                <w:sz w:val="18"/>
                <w:szCs w:val="18"/>
              </w:rPr>
              <w:t xml:space="preserve">Arrangement, tracks, regions, MIDI, automation, supported plugin state</w:t>
            </w:r>
          </w:p>
        </w:tc>
        <w:tc>
          <w:tcPr>
            <w:tcW w:type="dxa" w:w="6740"/>
            <w:tcMar>
              <w:top w:type="dxa" w:w="54"/>
              <w:left w:type="dxa" w:w="100"/>
              <w:bottom w:type="dxa" w:w="54"/>
              <w:right w:type="dxa" w:w="100"/>
            </w:tcMar>
          </w:tcPr>
          <w:p>
            <w:r>
              <w:rPr>
                <w:sz w:val="18"/>
                <w:szCs w:val="18"/>
              </w:rPr>
              <w:t xml:space="preserve">Included in canonical state where reliably parseable.</w:t>
            </w:r>
          </w:p>
        </w:tc>
      </w:tr>
      <w:tr>
        <w:tc>
          <w:tcPr>
            <w:tcW w:type="dxa" w:w="3400"/>
            <w:shd w:fill="F3F5F7" w:color="auto" w:val="clear"/>
            <w:tcMar>
              <w:top w:type="dxa" w:w="54"/>
              <w:left w:type="dxa" w:w="100"/>
              <w:bottom w:type="dxa" w:w="54"/>
              <w:right w:type="dxa" w:w="100"/>
            </w:tcMar>
          </w:tcPr>
          <w:p>
            <w:r>
              <w:rPr>
                <w:sz w:val="18"/>
                <w:szCs w:val="18"/>
              </w:rPr>
              <w:t xml:space="preserve">Audio and media</w:t>
            </w:r>
          </w:p>
        </w:tc>
        <w:tc>
          <w:tcPr>
            <w:tcW w:type="dxa" w:w="6740"/>
            <w:shd w:fill="F3F5F7" w:color="auto" w:val="clear"/>
            <w:tcMar>
              <w:top w:type="dxa" w:w="54"/>
              <w:left w:type="dxa" w:w="100"/>
              <w:bottom w:type="dxa" w:w="54"/>
              <w:right w:type="dxa" w:w="100"/>
            </w:tcMar>
          </w:tcPr>
          <w:p>
            <w:r>
              <w:rPr>
                <w:sz w:val="18"/>
                <w:szCs w:val="18"/>
              </w:rPr>
              <w:t xml:space="preserve">Content-hashed into an asset root; embedded media included, external media by resolved content hash.</w:t>
            </w:r>
          </w:p>
        </w:tc>
      </w:tr>
      <w:tr>
        <w:tc>
          <w:tcPr>
            <w:tcW w:type="dxa" w:w="3400"/>
            <w:tcMar>
              <w:top w:type="dxa" w:w="54"/>
              <w:left w:type="dxa" w:w="100"/>
              <w:bottom w:type="dxa" w:w="54"/>
              <w:right w:type="dxa" w:w="100"/>
            </w:tcMar>
          </w:tcPr>
          <w:p>
            <w:r>
              <w:rPr>
                <w:sz w:val="18"/>
                <w:szCs w:val="18"/>
              </w:rPr>
              <w:t xml:space="preserve">Opaque proprietary / plugin blobs</w:t>
            </w:r>
          </w:p>
        </w:tc>
        <w:tc>
          <w:tcPr>
            <w:tcW w:type="dxa" w:w="6740"/>
            <w:tcMar>
              <w:top w:type="dxa" w:w="54"/>
              <w:left w:type="dxa" w:w="100"/>
              <w:bottom w:type="dxa" w:w="54"/>
              <w:right w:type="dxa" w:w="100"/>
            </w:tcMar>
          </w:tcPr>
          <w:p>
            <w:r>
              <w:rPr>
                <w:sz w:val="18"/>
                <w:szCs w:val="18"/>
              </w:rPr>
              <w:t xml:space="preserve">Raw hash always retained; canonical component hash only under a validated component profile, else marked unstable/unresolved.</w:t>
            </w:r>
          </w:p>
        </w:tc>
      </w:tr>
      <w:tr>
        <w:tc>
          <w:tcPr>
            <w:tcW w:type="dxa" w:w="3400"/>
            <w:shd w:fill="F3F5F7" w:color="auto" w:val="clear"/>
            <w:tcMar>
              <w:top w:type="dxa" w:w="54"/>
              <w:left w:type="dxa" w:w="100"/>
              <w:bottom w:type="dxa" w:w="54"/>
              <w:right w:type="dxa" w:w="100"/>
            </w:tcMar>
          </w:tcPr>
          <w:p>
            <w:r>
              <w:rPr>
                <w:sz w:val="18"/>
                <w:szCs w:val="18"/>
              </w:rPr>
              <w:t xml:space="preserve">Absolute paths and volume names</w:t>
            </w:r>
          </w:p>
        </w:tc>
        <w:tc>
          <w:tcPr>
            <w:tcW w:type="dxa" w:w="6740"/>
            <w:shd w:fill="F3F5F7" w:color="auto" w:val="clear"/>
            <w:tcMar>
              <w:top w:type="dxa" w:w="54"/>
              <w:left w:type="dxa" w:w="100"/>
              <w:bottom w:type="dxa" w:w="54"/>
              <w:right w:type="dxa" w:w="100"/>
            </w:tcMar>
          </w:tcPr>
          <w:p>
            <w:r>
              <w:rPr>
                <w:sz w:val="18"/>
                <w:szCs w:val="18"/>
              </w:rPr>
              <w:t xml:space="preserve">Normalised to project-relative identifiers where possible.</w:t>
            </w:r>
          </w:p>
        </w:tc>
      </w:tr>
      <w:tr>
        <w:tc>
          <w:tcPr>
            <w:tcW w:type="dxa" w:w="3400"/>
            <w:tcMar>
              <w:top w:type="dxa" w:w="54"/>
              <w:left w:type="dxa" w:w="100"/>
              <w:bottom w:type="dxa" w:w="54"/>
              <w:right w:type="dxa" w:w="100"/>
            </w:tcMar>
          </w:tcPr>
          <w:p>
            <w:r>
              <w:rPr>
                <w:sz w:val="18"/>
                <w:szCs w:val="18"/>
              </w:rPr>
              <w:t xml:space="preserve">Window positions, UI state, recent-file lists</w:t>
            </w:r>
          </w:p>
        </w:tc>
        <w:tc>
          <w:tcPr>
            <w:tcW w:type="dxa" w:w="6740"/>
            <w:tcMar>
              <w:top w:type="dxa" w:w="54"/>
              <w:left w:type="dxa" w:w="100"/>
              <w:bottom w:type="dxa" w:w="54"/>
              <w:right w:type="dxa" w:w="100"/>
            </w:tcMar>
          </w:tcPr>
          <w:p>
            <w:r>
              <w:rPr>
                <w:sz w:val="18"/>
                <w:szCs w:val="18"/>
              </w:rPr>
              <w:t xml:space="preserve">Excluded when confidently non-creative.</w:t>
            </w:r>
          </w:p>
        </w:tc>
      </w:tr>
      <w:tr>
        <w:tc>
          <w:tcPr>
            <w:tcW w:type="dxa" w:w="3400"/>
            <w:shd w:fill="F3F5F7" w:color="auto" w:val="clear"/>
            <w:tcMar>
              <w:top w:type="dxa" w:w="54"/>
              <w:left w:type="dxa" w:w="100"/>
              <w:bottom w:type="dxa" w:w="54"/>
              <w:right w:type="dxa" w:w="100"/>
            </w:tcMar>
          </w:tcPr>
          <w:p>
            <w:r>
              <w:rPr>
                <w:sz w:val="18"/>
                <w:szCs w:val="18"/>
              </w:rPr>
              <w:t xml:space="preserve">Caches, lock files, waveforms, temp renders, autosave</w:t>
            </w:r>
          </w:p>
        </w:tc>
        <w:tc>
          <w:tcPr>
            <w:tcW w:type="dxa" w:w="6740"/>
            <w:shd w:fill="F3F5F7" w:color="auto" w:val="clear"/>
            <w:tcMar>
              <w:top w:type="dxa" w:w="54"/>
              <w:left w:type="dxa" w:w="100"/>
              <w:bottom w:type="dxa" w:w="54"/>
              <w:right w:type="dxa" w:w="100"/>
            </w:tcMar>
          </w:tcPr>
          <w:p>
            <w:r>
              <w:rPr>
                <w:sz w:val="18"/>
                <w:szCs w:val="18"/>
              </w:rPr>
              <w:t xml:space="preserve">Ignored per adapter profile.</w:t>
            </w:r>
          </w:p>
        </w:tc>
      </w:tr>
      <w:tr>
        <w:tc>
          <w:tcPr>
            <w:tcW w:type="dxa" w:w="3400"/>
            <w:tcMar>
              <w:top w:type="dxa" w:w="54"/>
              <w:left w:type="dxa" w:w="100"/>
              <w:bottom w:type="dxa" w:w="54"/>
              <w:right w:type="dxa" w:w="100"/>
            </w:tcMar>
          </w:tcPr>
          <w:p>
            <w:r>
              <w:rPr>
                <w:sz w:val="18"/>
                <w:szCs w:val="18"/>
              </w:rPr>
              <w:t xml:space="preserve">Missing external dependencies</w:t>
            </w:r>
          </w:p>
        </w:tc>
        <w:tc>
          <w:tcPr>
            <w:tcW w:type="dxa" w:w="6740"/>
            <w:tcMar>
              <w:top w:type="dxa" w:w="54"/>
              <w:left w:type="dxa" w:w="100"/>
              <w:bottom w:type="dxa" w:w="54"/>
              <w:right w:type="dxa" w:w="100"/>
            </w:tcMar>
          </w:tcPr>
          <w:p>
            <w:r>
              <w:rPr>
                <w:sz w:val="18"/>
                <w:szCs w:val="18"/>
              </w:rPr>
              <w:t xml:space="preserve">Recorded as unresolved, never silently omitted.</w:t>
            </w:r>
          </w:p>
        </w:tc>
      </w:tr>
    </w:tbl>
    <w:p>
      <w:pPr>
        <w:spacing w:after="60"/>
      </w:pPr>
      <w:r>
        <w:rPr>
          <w:sz w:val="6"/>
          <w:szCs w:val="6"/>
        </w:rPr>
        <w:t xml:space="preserve"/>
      </w:r>
    </w:p>
    <w:p>
      <w:pPr>
        <w:pStyle w:val="Heading2"/>
        <w:keepNext/>
        <w:spacing w:after="66" w:before="200"/>
      </w:pPr>
      <w:r>
        <w:rPr>
          <w:b/>
          <w:bCs/>
          <w:color w:val="168A92"/>
          <w:sz w:val="22"/>
          <w:szCs w:val="22"/>
        </w:rPr>
        <w:t xml:space="preserve">4.4 Normalisation rules</w:t>
      </w:r>
    </w:p>
    <w:p>
      <w:pPr>
        <w:spacing w:after="120" w:line="270"/>
      </w:pPr>
      <w:r>
        <w:rPr>
          <w:i w:val="false"/>
          <w:iCs w:val="false"/>
          <w:sz w:val="20"/>
          <w:szCs w:val="20"/>
        </w:rPr>
        <w:t xml:space="preserve">Paths become project-relative or content-addressed; dictionary and file entries are ordered lexicographically; text uses a fixed Unicode normalisation and line-ending convention; numbers use deterministic serialisation. A field is stripped or rewritten only when the adapter or component profile has proven it non-creative; otherwise its raw hash is retained and the component marked opaque or unresolved. The protocol prefers visible uncertainty to invisible loss.</w:t>
      </w:r>
    </w:p>
    <w:p>
      <w:pPr>
        <w:pStyle w:val="Heading2"/>
        <w:keepNext/>
        <w:spacing w:after="66" w:before="200"/>
      </w:pPr>
      <w:r>
        <w:rPr>
          <w:b/>
          <w:bCs/>
          <w:color w:val="168A92"/>
          <w:sz w:val="22"/>
          <w:szCs w:val="22"/>
        </w:rPr>
        <w:t xml:space="preserve">4.5 Component profiles and nondeterminism</w:t>
      </w:r>
    </w:p>
    <w:p>
      <w:pPr>
        <w:spacing w:after="120" w:line="270"/>
      </w:pPr>
      <w:r>
        <w:rPr>
          <w:i w:val="false"/>
          <w:iCs w:val="false"/>
          <w:sz w:val="20"/>
          <w:szCs w:val="20"/>
        </w:rPr>
        <w:t xml:space="preserve">Plugins often serialise timestamps, session GUIDs, unordered maps, host-specific paths or float noise. A component profile is required before any canonical hash is computed for such a component. A profile demonstrates, through repeat-save and cross-machine tests, which fields are nondeterministic and non-creative, and records the plugin identifier and version, host and adapter versions, normalisation rules and conformance result. Unknown bytes are never loosely ignored to preserve a green status; an unstable component reduces the result to Canonical State Partially Verified or File-Level Continuity Only.</w:t>
      </w:r>
    </w:p>
    <w:p>
      <w:pPr>
        <w:pStyle w:val="Heading2"/>
        <w:keepNext/>
        <w:spacing w:after="66" w:before="200"/>
      </w:pPr>
      <w:r>
        <w:rPr>
          <w:b/>
          <w:bCs/>
          <w:color w:val="168A92"/>
          <w:sz w:val="22"/>
          <w:szCs w:val="22"/>
        </w:rPr>
        <w:t xml:space="preserve">4.6 Event classes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60"/>
        <w:gridCol w:w="2760"/>
        <w:gridCol w:w="2400"/>
        <w:gridCol w:w="2520"/>
      </w:tblGrid>
      <w:tr>
        <w:trPr>
          <w:tblHeader/>
        </w:trPr>
        <w:tc>
          <w:tcPr>
            <w:tcW w:type="dxa" w:w="1560"/>
            <w:shd w:fill="1F3A5F" w:color="auto" w:val="clear"/>
            <w:tcMar>
              <w:top w:type="dxa" w:w="54"/>
              <w:left w:type="dxa" w:w="100"/>
              <w:bottom w:type="dxa" w:w="54"/>
              <w:right w:type="dxa" w:w="100"/>
            </w:tcMar>
          </w:tcPr>
          <w:p>
            <w:r>
              <w:rPr>
                <w:b/>
                <w:bCs/>
                <w:color w:val="FFFFFF"/>
                <w:sz w:val="18"/>
                <w:szCs w:val="18"/>
              </w:rPr>
              <w:t xml:space="preserve">Class</w:t>
            </w:r>
          </w:p>
        </w:tc>
        <w:tc>
          <w:tcPr>
            <w:tcW w:type="dxa" w:w="2760"/>
            <w:shd w:fill="1F3A5F" w:color="auto" w:val="clear"/>
            <w:tcMar>
              <w:top w:type="dxa" w:w="54"/>
              <w:left w:type="dxa" w:w="100"/>
              <w:bottom w:type="dxa" w:w="54"/>
              <w:right w:type="dxa" w:w="100"/>
            </w:tcMar>
          </w:tcPr>
          <w:p>
            <w:r>
              <w:rPr>
                <w:b/>
                <w:bCs/>
                <w:color w:val="FFFFFF"/>
                <w:sz w:val="18"/>
                <w:szCs w:val="18"/>
              </w:rPr>
              <w:t xml:space="preserve">Example</w:t>
            </w:r>
          </w:p>
        </w:tc>
        <w:tc>
          <w:tcPr>
            <w:tcW w:type="dxa" w:w="2400"/>
            <w:shd w:fill="1F3A5F" w:color="auto" w:val="clear"/>
            <w:tcMar>
              <w:top w:type="dxa" w:w="54"/>
              <w:left w:type="dxa" w:w="100"/>
              <w:bottom w:type="dxa" w:w="54"/>
              <w:right w:type="dxa" w:w="100"/>
            </w:tcMar>
          </w:tcPr>
          <w:p>
            <w:r>
              <w:rPr>
                <w:b/>
                <w:bCs/>
                <w:color w:val="FFFFFF"/>
                <w:sz w:val="18"/>
                <w:szCs w:val="18"/>
              </w:rPr>
              <w:t xml:space="preserve">Stored locally</w:t>
            </w:r>
          </w:p>
        </w:tc>
        <w:tc>
          <w:tcPr>
            <w:tcW w:type="dxa" w:w="2520"/>
            <w:shd w:fill="1F3A5F" w:color="auto" w:val="clear"/>
            <w:tcMar>
              <w:top w:type="dxa" w:w="54"/>
              <w:left w:type="dxa" w:w="100"/>
              <w:bottom w:type="dxa" w:w="54"/>
              <w:right w:type="dxa" w:w="100"/>
            </w:tcMar>
          </w:tcPr>
          <w:p>
            <w:r>
              <w:rPr>
                <w:b/>
                <w:bCs/>
                <w:color w:val="FFFFFF"/>
                <w:sz w:val="18"/>
                <w:szCs w:val="18"/>
              </w:rPr>
              <w:t xml:space="preserve">Anchored by default</w:t>
            </w:r>
          </w:p>
        </w:tc>
      </w:tr>
      <w:tr>
        <w:tc>
          <w:tcPr>
            <w:tcW w:type="dxa" w:w="1560"/>
            <w:tcMar>
              <w:top w:type="dxa" w:w="54"/>
              <w:left w:type="dxa" w:w="100"/>
              <w:bottom w:type="dxa" w:w="54"/>
              <w:right w:type="dxa" w:w="100"/>
            </w:tcMar>
          </w:tcPr>
          <w:p>
            <w:r>
              <w:rPr>
                <w:sz w:val="18"/>
                <w:szCs w:val="18"/>
              </w:rPr>
              <w:t xml:space="preserve">E0 transient</w:t>
            </w:r>
          </w:p>
        </w:tc>
        <w:tc>
          <w:tcPr>
            <w:tcW w:type="dxa" w:w="2760"/>
            <w:tcMar>
              <w:top w:type="dxa" w:w="54"/>
              <w:left w:type="dxa" w:w="100"/>
              <w:bottom w:type="dxa" w:w="54"/>
              <w:right w:type="dxa" w:w="100"/>
            </w:tcMar>
          </w:tcPr>
          <w:p>
            <w:r>
              <w:rPr>
                <w:sz w:val="18"/>
                <w:szCs w:val="18"/>
              </w:rPr>
              <w:t xml:space="preserve">Lock/cache update</w:t>
            </w:r>
          </w:p>
        </w:tc>
        <w:tc>
          <w:tcPr>
            <w:tcW w:type="dxa" w:w="2400"/>
            <w:tcMar>
              <w:top w:type="dxa" w:w="54"/>
              <w:left w:type="dxa" w:w="100"/>
              <w:bottom w:type="dxa" w:w="54"/>
              <w:right w:type="dxa" w:w="100"/>
            </w:tcMar>
          </w:tcPr>
          <w:p>
            <w:r>
              <w:rPr>
                <w:sz w:val="18"/>
                <w:szCs w:val="18"/>
              </w:rPr>
              <w:t xml:space="preserve">No</w:t>
            </w:r>
          </w:p>
        </w:tc>
        <w:tc>
          <w:tcPr>
            <w:tcW w:type="dxa" w:w="2520"/>
            <w:tcMar>
              <w:top w:type="dxa" w:w="54"/>
              <w:left w:type="dxa" w:w="100"/>
              <w:bottom w:type="dxa" w:w="54"/>
              <w:right w:type="dxa" w:w="100"/>
            </w:tcMar>
          </w:tcPr>
          <w:p>
            <w:r>
              <w:rPr>
                <w:sz w:val="18"/>
                <w:szCs w:val="18"/>
              </w:rPr>
              <w:t xml:space="preserve">No</w:t>
            </w:r>
          </w:p>
        </w:tc>
      </w:tr>
      <w:tr>
        <w:tc>
          <w:tcPr>
            <w:tcW w:type="dxa" w:w="1560"/>
            <w:shd w:fill="F3F5F7" w:color="auto" w:val="clear"/>
            <w:tcMar>
              <w:top w:type="dxa" w:w="54"/>
              <w:left w:type="dxa" w:w="100"/>
              <w:bottom w:type="dxa" w:w="54"/>
              <w:right w:type="dxa" w:w="100"/>
            </w:tcMar>
          </w:tcPr>
          <w:p>
            <w:r>
              <w:rPr>
                <w:sz w:val="18"/>
                <w:szCs w:val="18"/>
              </w:rPr>
              <w:t xml:space="preserve">E1 canonical state</w:t>
            </w:r>
          </w:p>
        </w:tc>
        <w:tc>
          <w:tcPr>
            <w:tcW w:type="dxa" w:w="2760"/>
            <w:shd w:fill="F3F5F7" w:color="auto" w:val="clear"/>
            <w:tcMar>
              <w:top w:type="dxa" w:w="54"/>
              <w:left w:type="dxa" w:w="100"/>
              <w:bottom w:type="dxa" w:w="54"/>
              <w:right w:type="dxa" w:w="100"/>
            </w:tcMar>
          </w:tcPr>
          <w:p>
            <w:r>
              <w:rPr>
                <w:sz w:val="18"/>
                <w:szCs w:val="18"/>
              </w:rPr>
              <w:t xml:space="preserve">Region move, MIDI or plugin-state change</w:t>
            </w:r>
          </w:p>
        </w:tc>
        <w:tc>
          <w:tcPr>
            <w:tcW w:type="dxa" w:w="2400"/>
            <w:shd w:fill="F3F5F7" w:color="auto" w:val="clear"/>
            <w:tcMar>
              <w:top w:type="dxa" w:w="54"/>
              <w:left w:type="dxa" w:w="100"/>
              <w:bottom w:type="dxa" w:w="54"/>
              <w:right w:type="dxa" w:w="100"/>
            </w:tcMar>
          </w:tcPr>
          <w:p>
            <w:r>
              <w:rPr>
                <w:sz w:val="18"/>
                <w:szCs w:val="18"/>
              </w:rPr>
              <w:t xml:space="preserve">Yes</w:t>
            </w:r>
          </w:p>
        </w:tc>
        <w:tc>
          <w:tcPr>
            <w:tcW w:type="dxa" w:w="2520"/>
            <w:shd w:fill="F3F5F7" w:color="auto" w:val="clear"/>
            <w:tcMar>
              <w:top w:type="dxa" w:w="54"/>
              <w:left w:type="dxa" w:w="100"/>
              <w:bottom w:type="dxa" w:w="54"/>
              <w:right w:type="dxa" w:w="100"/>
            </w:tcMar>
          </w:tcPr>
          <w:p>
            <w:r>
              <w:rPr>
                <w:sz w:val="18"/>
                <w:szCs w:val="18"/>
              </w:rPr>
              <w:t xml:space="preserve">No</w:t>
            </w:r>
          </w:p>
        </w:tc>
      </w:tr>
      <w:tr>
        <w:tc>
          <w:tcPr>
            <w:tcW w:type="dxa" w:w="1560"/>
            <w:tcMar>
              <w:top w:type="dxa" w:w="54"/>
              <w:left w:type="dxa" w:w="100"/>
              <w:bottom w:type="dxa" w:w="54"/>
              <w:right w:type="dxa" w:w="100"/>
            </w:tcMar>
          </w:tcPr>
          <w:p>
            <w:r>
              <w:rPr>
                <w:sz w:val="18"/>
                <w:szCs w:val="18"/>
              </w:rPr>
              <w:t xml:space="preserve">E2 checkpoint</w:t>
            </w:r>
          </w:p>
        </w:tc>
        <w:tc>
          <w:tcPr>
            <w:tcW w:type="dxa" w:w="2760"/>
            <w:tcMar>
              <w:top w:type="dxa" w:w="54"/>
              <w:left w:type="dxa" w:w="100"/>
              <w:bottom w:type="dxa" w:w="54"/>
              <w:right w:type="dxa" w:w="100"/>
            </w:tcMar>
          </w:tcPr>
          <w:p>
            <w:r>
              <w:rPr>
                <w:sz w:val="18"/>
                <w:szCs w:val="18"/>
              </w:rPr>
              <w:t xml:space="preserve">Stable save after grouped edits</w:t>
            </w:r>
          </w:p>
        </w:tc>
        <w:tc>
          <w:tcPr>
            <w:tcW w:type="dxa" w:w="2400"/>
            <w:tcMar>
              <w:top w:type="dxa" w:w="54"/>
              <w:left w:type="dxa" w:w="100"/>
              <w:bottom w:type="dxa" w:w="54"/>
              <w:right w:type="dxa" w:w="100"/>
            </w:tcMar>
          </w:tcPr>
          <w:p>
            <w:r>
              <w:rPr>
                <w:sz w:val="18"/>
                <w:szCs w:val="18"/>
              </w:rPr>
              <w:t xml:space="preserve">Yes, chained</w:t>
            </w:r>
          </w:p>
        </w:tc>
        <w:tc>
          <w:tcPr>
            <w:tcW w:type="dxa" w:w="2520"/>
            <w:tcMar>
              <w:top w:type="dxa" w:w="54"/>
              <w:left w:type="dxa" w:w="100"/>
              <w:bottom w:type="dxa" w:w="54"/>
              <w:right w:type="dxa" w:w="100"/>
            </w:tcMar>
          </w:tcPr>
          <w:p>
            <w:r>
              <w:rPr>
                <w:sz w:val="18"/>
                <w:szCs w:val="18"/>
              </w:rPr>
              <w:t xml:space="preserve">No</w:t>
            </w:r>
          </w:p>
        </w:tc>
      </w:tr>
      <w:tr>
        <w:tc>
          <w:tcPr>
            <w:tcW w:type="dxa" w:w="1560"/>
            <w:shd w:fill="F3F5F7" w:color="auto" w:val="clear"/>
            <w:tcMar>
              <w:top w:type="dxa" w:w="54"/>
              <w:left w:type="dxa" w:w="100"/>
              <w:bottom w:type="dxa" w:w="54"/>
              <w:right w:type="dxa" w:w="100"/>
            </w:tcMar>
          </w:tcPr>
          <w:p>
            <w:r>
              <w:rPr>
                <w:sz w:val="18"/>
                <w:szCs w:val="18"/>
              </w:rPr>
              <w:t xml:space="preserve">E3 milestone</w:t>
            </w:r>
          </w:p>
        </w:tc>
        <w:tc>
          <w:tcPr>
            <w:tcW w:type="dxa" w:w="2760"/>
            <w:shd w:fill="F3F5F7" w:color="auto" w:val="clear"/>
            <w:tcMar>
              <w:top w:type="dxa" w:w="54"/>
              <w:left w:type="dxa" w:w="100"/>
              <w:bottom w:type="dxa" w:w="54"/>
              <w:right w:type="dxa" w:w="100"/>
            </w:tcMar>
          </w:tcPr>
          <w:p>
            <w:r>
              <w:rPr>
                <w:sz w:val="18"/>
                <w:szCs w:val="18"/>
              </w:rPr>
              <w:t xml:space="preserve">Session close, split, mix or master approval</w:t>
            </w:r>
          </w:p>
        </w:tc>
        <w:tc>
          <w:tcPr>
            <w:tcW w:type="dxa" w:w="2400"/>
            <w:shd w:fill="F3F5F7" w:color="auto" w:val="clear"/>
            <w:tcMar>
              <w:top w:type="dxa" w:w="54"/>
              <w:left w:type="dxa" w:w="100"/>
              <w:bottom w:type="dxa" w:w="54"/>
              <w:right w:type="dxa" w:w="100"/>
            </w:tcMar>
          </w:tcPr>
          <w:p>
            <w:r>
              <w:rPr>
                <w:sz w:val="18"/>
                <w:szCs w:val="18"/>
              </w:rPr>
              <w:t xml:space="preserve">Yes</w:t>
            </w:r>
          </w:p>
        </w:tc>
        <w:tc>
          <w:tcPr>
            <w:tcW w:type="dxa" w:w="2520"/>
            <w:shd w:fill="F3F5F7" w:color="auto" w:val="clear"/>
            <w:tcMar>
              <w:top w:type="dxa" w:w="54"/>
              <w:left w:type="dxa" w:w="100"/>
              <w:bottom w:type="dxa" w:w="54"/>
              <w:right w:type="dxa" w:w="100"/>
            </w:tcMar>
          </w:tcPr>
          <w:p>
            <w:r>
              <w:rPr>
                <w:sz w:val="18"/>
                <w:szCs w:val="18"/>
              </w:rPr>
              <w:t xml:space="preserve">Yes or user-confirmed batch</w:t>
            </w:r>
          </w:p>
        </w:tc>
      </w:tr>
    </w:tbl>
    <w:p>
      <w:pPr>
        <w:spacing w:after="60"/>
      </w:pPr>
      <w:r>
        <w:rPr>
          <w:sz w:val="6"/>
          <w:szCs w:val="6"/>
        </w:rPr>
        <w:t xml:space="preserve"/>
      </w:r>
    </w:p>
    <w:p>
      <w:pPr>
        <w:pStyle w:val="Heading2"/>
        <w:keepNext/>
        <w:spacing w:after="66" w:before="200"/>
      </w:pPr>
      <w:r>
        <w:rPr>
          <w:b/>
          <w:bCs/>
          <w:color w:val="168A92"/>
          <w:sz w:val="22"/>
          <w:szCs w:val="22"/>
        </w:rPr>
        <w:t xml:space="preserve">4.7 Conformance, completeness and the support matrix</w:t>
      </w:r>
    </w:p>
    <w:p>
      <w:pPr>
        <w:spacing w:after="120" w:line="270"/>
      </w:pPr>
      <w:r>
        <w:rPr>
          <w:i w:val="false"/>
          <w:iCs w:val="false"/>
          <w:sz w:val="20"/>
          <w:szCs w:val="20"/>
        </w:rPr>
        <w:t xml:space="preserve">Every adapter and component-profile release MUST demonstrate deterministic output across supported environments AND change detection for each declared change class. Determinism alone is insufficient: the corpus MUST assert that an edit in each known creative-change class yields a distinct canonical hash. Coverage is declared, not assumed. The adapter support matrix publishes:</w:t>
      </w:r>
    </w:p>
    <w:p>
      <w:pPr>
        <w:pStyle w:val="ListParagraph"/>
        <w:numPr>
          <w:ilvl w:val="0"/>
          <w:numId w:val="2"/>
        </w:numPr>
        <w:spacing w:after="50" w:line="262"/>
      </w:pPr>
      <w:r>
        <w:rPr>
          <w:sz w:val="20"/>
          <w:szCs w:val="20"/>
        </w:rPr>
        <w:t xml:space="preserve">fields and change classes parsed directly;</w:t>
      </w:r>
    </w:p>
    <w:p>
      <w:pPr>
        <w:pStyle w:val="ListParagraph"/>
        <w:numPr>
          <w:ilvl w:val="0"/>
          <w:numId w:val="2"/>
        </w:numPr>
        <w:spacing w:after="50" w:line="262"/>
      </w:pPr>
      <w:r>
        <w:rPr>
          <w:sz w:val="20"/>
          <w:szCs w:val="20"/>
        </w:rPr>
        <w:t xml:space="preserve">opaque components included by hash;</w:t>
      </w:r>
    </w:p>
    <w:p>
      <w:pPr>
        <w:pStyle w:val="ListParagraph"/>
        <w:numPr>
          <w:ilvl w:val="0"/>
          <w:numId w:val="2"/>
        </w:numPr>
        <w:spacing w:after="50" w:line="262"/>
      </w:pPr>
      <w:r>
        <w:rPr>
          <w:sz w:val="20"/>
          <w:szCs w:val="20"/>
        </w:rPr>
        <w:t xml:space="preserve">tested exclusions and known unsupported behaviour;</w:t>
      </w:r>
    </w:p>
    <w:p>
      <w:pPr>
        <w:pStyle w:val="ListParagraph"/>
        <w:numPr>
          <w:ilvl w:val="0"/>
          <w:numId w:val="2"/>
        </w:numPr>
        <w:spacing w:after="50" w:line="262"/>
      </w:pPr>
      <w:r>
        <w:rPr>
          <w:sz w:val="20"/>
          <w:szCs w:val="20"/>
        </w:rPr>
        <w:t xml:space="preserve">vendor and version dependencies;</w:t>
      </w:r>
    </w:p>
    <w:p>
      <w:pPr>
        <w:pStyle w:val="ListParagraph"/>
        <w:numPr>
          <w:ilvl w:val="0"/>
          <w:numId w:val="2"/>
        </w:numPr>
        <w:spacing w:after="50" w:line="262"/>
      </w:pPr>
      <w:r>
        <w:rPr>
          <w:sz w:val="20"/>
          <w:szCs w:val="20"/>
        </w:rPr>
        <w:t xml:space="preserve">date and environment of last validation.</w:t>
      </w:r>
    </w:p>
    <w:p>
      <w:pPr>
        <w:pBdr>
          <w:top w:val="single" w:color="168A92" w:sz="4" w:space="8"/>
          <w:left w:val="single" w:color="168A92" w:sz="18" w:space="10"/>
          <w:bottom w:val="single" w:color="168A92" w:sz="4" w:space="8"/>
          <w:right w:val="single" w:color="168A92" w:sz="4" w:space="8"/>
        </w:pBdr>
        <w:shd w:fill="F1F8F8" w:color="auto" w:val="clear"/>
        <w:spacing w:after="150" w:before="120"/>
      </w:pPr>
      <w:r>
        <w:rPr>
          <w:b/>
          <w:bCs/>
          <w:color w:val="168A92"/>
          <w:sz w:val="20"/>
          <w:szCs w:val="20"/>
        </w:rPr>
        <w:t xml:space="preserve">Coverage, not completeness</w:t>
      </w:r>
      <w:r>
        <w:rPr>
          <w:sz w:val="20"/>
          <w:szCs w:val="20"/>
        </w:rPr>
        <w:t xml:space="preserve">  “Canonical State Verified” means verified against a stated set of tested change classes under a named adapter. It does not claim semantic coverage of undocumented fields outside that scope.</w:t>
      </w:r>
    </w:p>
    <w:p>
      <w:pPr>
        <w:pStyle w:val="Heading2"/>
        <w:keepNext/>
        <w:spacing w:after="66" w:before="200"/>
      </w:pPr>
      <w:r>
        <w:rPr>
          <w:b/>
          <w:bCs/>
          <w:color w:val="168A92"/>
          <w:sz w:val="22"/>
          <w:szCs w:val="22"/>
        </w:rPr>
        <w:t xml:space="preserve">4.8 Graceful degradation statuses</w:t>
      </w:r>
    </w:p>
    <w:p>
      <w:pPr>
        <w:spacing w:after="120" w:line="270"/>
      </w:pPr>
      <w:r>
        <w:rPr>
          <w:i w:val="false"/>
          <w:iCs w:val="false"/>
          <w:sz w:val="20"/>
          <w:szCs w:val="20"/>
        </w:rPr>
        <w:t xml:space="preserve">Exact Snapshot Verified · Canonical State Verified · Canonical State Partially Verified · Asset Set Partially Resolved · File-Level Continuity Only · Verification Incomplete. Each states exactly what remains verified; evidence can still be produced at reduced, visible scope.</w:t>
      </w:r>
    </w:p>
    <w:p>
      <w:pPr>
        <w:pStyle w:val="Heading1"/>
        <w:keepNext/>
        <w:spacing w:after="130" w:before="320"/>
      </w:pPr>
      <w:r>
        <w:rPr>
          <w:b/>
          <w:bCs/>
          <w:color w:val="1F3A5F"/>
          <w:sz w:val="28"/>
          <w:szCs w:val="28"/>
        </w:rPr>
        <w:t xml:space="preserve">5. Checkpoints, Merkle aggregation and lineage</w:t>
      </w:r>
    </w:p>
    <w:p>
      <w:pPr>
        <w:spacing w:after="120" w:line="270"/>
      </w:pPr>
      <w:r>
        <w:rPr>
          <w:i w:val="false"/>
          <w:iCs w:val="false"/>
          <w:sz w:val="20"/>
          <w:szCs w:val="20"/>
        </w:rPr>
        <w:t xml:space="preserve">Each checkpoint records the project identifier, canonical state hash, exact snapshot hash where available, asset root, previous-checkpoint reference, adapter and component-profile versions, timestamp, signer reference, unresolved-dependency summary, optional contribution notes and local signature. Linking each checkpoint to the previous makes removal or alteration detectable. On session or milestone close, checkpoints aggregate into a Merkle root; a later verifier proves inclusion of any checkpoint without publishing intermediate states.</w:t>
      </w:r>
    </w:p>
    <w:p>
      <w:pPr>
        <w:spacing w:after="120" w:line="270"/>
      </w:pPr>
      <w:r>
        <w:rPr>
          <w:i w:val="false"/>
          <w:iCs w:val="false"/>
          <w:sz w:val="20"/>
          <w:szCs w:val="20"/>
        </w:rPr>
        <w:t xml:space="preserve">Lineage states: verified continuation · verified branch · unverified continuation · file-level relation only · unrelated · and “not approved under the current Project Passport policy” (used instead of “unauthorised,” because the system cannot know that no valid off-system permission exists). An approved reference render is recorded as a first-class milestone object — exact exported-audio hash, render environment, optional stem-set root and optional human approval — separating evidence of project state from evidence of audible output.</w:t>
      </w:r>
    </w:p>
    <w:p>
      <w:pPr>
        <w:pStyle w:val="Heading1"/>
        <w:keepNext/>
        <w:spacing w:after="130" w:before="320"/>
      </w:pPr>
      <w:r>
        <w:rPr>
          <w:b/>
          <w:bCs/>
          <w:color w:val="1F3A5F"/>
          <w:sz w:val="28"/>
          <w:szCs w:val="28"/>
        </w:rPr>
        <w:t xml:space="preserve">6. Key management and encryption</w:t>
      </w:r>
    </w:p>
    <w:p>
      <w:pPr>
        <w:pStyle w:val="Heading2"/>
        <w:keepNext/>
        <w:spacing w:after="66" w:before="200"/>
      </w:pPr>
      <w:r>
        <w:rPr>
          <w:b/>
          <w:bCs/>
          <w:color w:val="168A92"/>
          <w:sz w:val="22"/>
          <w:szCs w:val="22"/>
        </w:rPr>
        <w:t xml:space="preserve">6.1 Key hierarchy</w:t>
      </w:r>
    </w:p>
    <w:p>
      <w:pPr>
        <w:pStyle w:val="ListParagraph"/>
        <w:numPr>
          <w:ilvl w:val="0"/>
          <w:numId w:val="2"/>
        </w:numPr>
        <w:spacing w:after="50" w:line="262"/>
      </w:pPr>
      <w:r>
        <w:rPr>
          <w:sz w:val="20"/>
          <w:szCs w:val="20"/>
        </w:rPr>
        <w:t xml:space="preserve">Per-project master key (PMK): root of the project’s confidential material; never leaves authorised devices in cleartext.</w:t>
      </w:r>
    </w:p>
    <w:p>
      <w:pPr>
        <w:pStyle w:val="ListParagraph"/>
        <w:numPr>
          <w:ilvl w:val="0"/>
          <w:numId w:val="2"/>
        </w:numPr>
        <w:spacing w:after="50" w:line="262"/>
      </w:pPr>
      <w:r>
        <w:rPr>
          <w:sz w:val="20"/>
          <w:szCs w:val="20"/>
        </w:rPr>
        <w:t xml:space="preserve">Per-object content-encryption keys (CEK): each encrypted record (agreement, note, stem) has its own CEK.</w:t>
      </w:r>
    </w:p>
    <w:p>
      <w:pPr>
        <w:pStyle w:val="ListParagraph"/>
        <w:numPr>
          <w:ilvl w:val="0"/>
          <w:numId w:val="2"/>
        </w:numPr>
        <w:spacing w:after="50" w:line="262"/>
      </w:pPr>
      <w:r>
        <w:rPr>
          <w:sz w:val="20"/>
          <w:szCs w:val="20"/>
        </w:rPr>
        <w:t xml:space="preserve">Envelope encryption: each CEK is wrapped to each authorised collaborator’s device/public key; adding a collaborator wraps existing CEKs to them, subject to policy.</w:t>
      </w:r>
    </w:p>
    <w:p>
      <w:pPr>
        <w:pStyle w:val="ListParagraph"/>
        <w:numPr>
          <w:ilvl w:val="0"/>
          <w:numId w:val="2"/>
        </w:numPr>
        <w:spacing w:after="50" w:line="262"/>
      </w:pPr>
      <w:r>
        <w:rPr>
          <w:sz w:val="20"/>
          <w:szCs w:val="20"/>
        </w:rPr>
        <w:t xml:space="preserve">Signing keys are separate from encryption keys; passkeys and wallets are used for signing, not for content encryption.</w:t>
      </w:r>
    </w:p>
    <w:p>
      <w:pPr>
        <w:pStyle w:val="Heading2"/>
        <w:keepNext/>
        <w:spacing w:after="66" w:before="200"/>
      </w:pPr>
      <w:r>
        <w:rPr>
          <w:b/>
          <w:bCs/>
          <w:color w:val="168A92"/>
          <w:sz w:val="22"/>
          <w:szCs w:val="22"/>
        </w:rPr>
        <w:t xml:space="preserve">6.2 Membership, rotation and recovery</w:t>
      </w:r>
    </w:p>
    <w:p>
      <w:pPr>
        <w:pStyle w:val="ListParagraph"/>
        <w:numPr>
          <w:ilvl w:val="0"/>
          <w:numId w:val="2"/>
        </w:numPr>
        <w:spacing w:after="50" w:line="262"/>
      </w:pPr>
      <w:r>
        <w:rPr>
          <w:sz w:val="20"/>
          <w:szCs w:val="20"/>
        </w:rPr>
        <w:t xml:space="preserve">Device enrolment binds a new device to a collaborator via an existing authorised device or recovery path.</w:t>
      </w:r>
    </w:p>
    <w:p>
      <w:pPr>
        <w:pStyle w:val="ListParagraph"/>
        <w:numPr>
          <w:ilvl w:val="0"/>
          <w:numId w:val="2"/>
        </w:numPr>
        <w:spacing w:after="50" w:line="262"/>
      </w:pPr>
      <w:r>
        <w:rPr>
          <w:sz w:val="20"/>
          <w:szCs w:val="20"/>
        </w:rPr>
        <w:t xml:space="preserve">Adding/removing collaborators is a policy-governed action (white paper §12); removal stops future CEK wrapping but cannot recall material already delivered.</w:t>
      </w:r>
    </w:p>
    <w:p>
      <w:pPr>
        <w:pStyle w:val="ListParagraph"/>
        <w:numPr>
          <w:ilvl w:val="0"/>
          <w:numId w:val="2"/>
        </w:numPr>
        <w:spacing w:after="50" w:line="262"/>
      </w:pPr>
      <w:r>
        <w:rPr>
          <w:sz w:val="20"/>
          <w:szCs w:val="20"/>
        </w:rPr>
        <w:t xml:space="preserve">Key rotation issues successor keys; historical hashes and signatures remain valid, and superseded keys are marked, not deleted.</w:t>
      </w:r>
    </w:p>
    <w:p>
      <w:pPr>
        <w:pStyle w:val="ListParagraph"/>
        <w:numPr>
          <w:ilvl w:val="0"/>
          <w:numId w:val="2"/>
        </w:numPr>
        <w:spacing w:after="50" w:line="262"/>
      </w:pPr>
      <w:r>
        <w:rPr>
          <w:sz w:val="20"/>
          <w:szCs w:val="20"/>
        </w:rPr>
        <w:t xml:space="preserve">Recovery options include encrypted backups, authorised-collaborator recovery, wallet/passkey recovery and collective (multi-party) recovery; escrow, if offered, is explicit and auditable.</w:t>
      </w:r>
    </w:p>
    <w:p>
      <w:pPr>
        <w:pStyle w:val="Heading2"/>
        <w:keepNext/>
        <w:spacing w:after="66" w:before="200"/>
      </w:pPr>
      <w:r>
        <w:rPr>
          <w:b/>
          <w:bCs/>
          <w:color w:val="168A92"/>
          <w:sz w:val="22"/>
          <w:szCs w:val="22"/>
        </w:rPr>
        <w:t xml:space="preserve">6.3 Bounds of confidentiality</w:t>
      </w:r>
    </w:p>
    <w:p>
      <w:pPr>
        <w:pBdr>
          <w:top w:val="single" w:color="168A92" w:sz="4" w:space="8"/>
          <w:left w:val="single" w:color="168A92" w:sz="18" w:space="10"/>
          <w:bottom w:val="single" w:color="168A92" w:sz="4" w:space="8"/>
          <w:right w:val="single" w:color="168A92" w:sz="4" w:space="8"/>
        </w:pBdr>
        <w:shd w:fill="F1F8F8" w:color="auto" w:val="clear"/>
        <w:spacing w:after="150" w:before="120"/>
      </w:pPr>
      <w:r>
        <w:rPr>
          <w:b/>
          <w:bCs/>
          <w:color w:val="168A92"/>
          <w:sz w:val="20"/>
          <w:szCs w:val="20"/>
        </w:rPr>
        <w:t xml:space="preserve">What cannot be revoked</w:t>
      </w:r>
      <w:r>
        <w:rPr>
          <w:sz w:val="20"/>
          <w:szCs w:val="20"/>
        </w:rPr>
        <w:t xml:space="preserve">  Access to future, server-mediated disclosure can be revoked. A key or plaintext copy already received by a collaborator cannot be recalled. The interface must state this rather than imply perfect revocation.</w:t>
      </w:r>
    </w:p>
    <w:p>
      <w:pPr>
        <w:pStyle w:val="ListParagraph"/>
        <w:numPr>
          <w:ilvl w:val="0"/>
          <w:numId w:val="2"/>
        </w:numPr>
        <w:spacing w:after="50" w:line="262"/>
      </w:pPr>
      <w:r>
        <w:rPr>
          <w:sz w:val="20"/>
          <w:szCs w:val="20"/>
        </w:rPr>
        <w:t xml:space="preserve">Xtrata cannot silently decrypt project content: server-side services operate on ciphertext or on data the user has explicitly shared.</w:t>
      </w:r>
    </w:p>
    <w:p>
      <w:pPr>
        <w:pStyle w:val="ListParagraph"/>
        <w:numPr>
          <w:ilvl w:val="0"/>
          <w:numId w:val="2"/>
        </w:numPr>
        <w:spacing w:after="50" w:line="262"/>
      </w:pPr>
      <w:r>
        <w:rPr>
          <w:sz w:val="20"/>
          <w:szCs w:val="20"/>
        </w:rPr>
        <w:t xml:space="preserve">Offline evidence packages remain verifiable if Xtrata ceases operation.</w:t>
      </w:r>
    </w:p>
    <w:p>
      <w:pPr>
        <w:pStyle w:val="Heading1"/>
        <w:keepNext/>
        <w:spacing w:after="130" w:before="320"/>
      </w:pPr>
      <w:r>
        <w:rPr>
          <w:b/>
          <w:bCs/>
          <w:color w:val="1F3A5F"/>
          <w:sz w:val="28"/>
          <w:szCs w:val="28"/>
        </w:rPr>
        <w:t xml:space="preserve">7. Data protection and identity-verification governance</w:t>
      </w:r>
    </w:p>
    <w:p>
      <w:pPr>
        <w:spacing w:after="120" w:line="270"/>
      </w:pPr>
      <w:r>
        <w:rPr>
          <w:i w:val="false"/>
          <w:iCs w:val="false"/>
          <w:sz w:val="20"/>
          <w:szCs w:val="20"/>
        </w:rPr>
        <w:t xml:space="preserve">Identity verification is a distinct data-protection workstream from cryptographic privacy, because it may process identity documents or biometric data. The specification requires:</w:t>
      </w:r>
    </w:p>
    <w:p>
      <w:pPr>
        <w:pStyle w:val="ListParagraph"/>
        <w:numPr>
          <w:ilvl w:val="0"/>
          <w:numId w:val="2"/>
        </w:numPr>
        <w:spacing w:after="50" w:line="262"/>
      </w:pPr>
      <w:r>
        <w:rPr>
          <w:sz w:val="20"/>
          <w:szCs w:val="20"/>
        </w:rPr>
        <w:t xml:space="preserve">Lawful basis and purpose limitation for each identity process, defined per provider and jurisdiction.</w:t>
      </w:r>
    </w:p>
    <w:p>
      <w:pPr>
        <w:pStyle w:val="ListParagraph"/>
        <w:numPr>
          <w:ilvl w:val="0"/>
          <w:numId w:val="2"/>
        </w:numPr>
        <w:spacing w:after="50" w:line="262"/>
      </w:pPr>
      <w:r>
        <w:rPr>
          <w:sz w:val="20"/>
          <w:szCs w:val="20"/>
        </w:rPr>
        <w:t xml:space="preserve">Data minimisation: the Passport and chain store only a profile reference, issuer and status — never identity documents or biometric templates.</w:t>
      </w:r>
    </w:p>
    <w:p>
      <w:pPr>
        <w:pStyle w:val="ListParagraph"/>
        <w:numPr>
          <w:ilvl w:val="0"/>
          <w:numId w:val="2"/>
        </w:numPr>
        <w:spacing w:after="50" w:line="262"/>
      </w:pPr>
      <w:r>
        <w:rPr>
          <w:sz w:val="20"/>
          <w:szCs w:val="20"/>
        </w:rPr>
        <w:t xml:space="preserve">Provider-held evidence: source material is retained by the verifying provider under its own retention policy, not duplicated into Xtrata.</w:t>
      </w:r>
    </w:p>
    <w:p>
      <w:pPr>
        <w:pStyle w:val="ListParagraph"/>
        <w:numPr>
          <w:ilvl w:val="0"/>
          <w:numId w:val="2"/>
        </w:numPr>
        <w:spacing w:after="50" w:line="262"/>
      </w:pPr>
      <w:r>
        <w:rPr>
          <w:sz w:val="20"/>
          <w:szCs w:val="20"/>
        </w:rPr>
        <w:t xml:space="preserve">Controller/processor clarity: roles are defined between the creator, Xtrata, and the identity provider.</w:t>
      </w:r>
    </w:p>
    <w:p>
      <w:pPr>
        <w:pStyle w:val="ListParagraph"/>
        <w:numPr>
          <w:ilvl w:val="0"/>
          <w:numId w:val="2"/>
        </w:numPr>
        <w:spacing w:after="50" w:line="262"/>
      </w:pPr>
      <w:r>
        <w:rPr>
          <w:sz w:val="20"/>
          <w:szCs w:val="20"/>
        </w:rPr>
        <w:t xml:space="preserve">Retention and deletion policies, transparency notices, and a data-protection impact assessment where identity or biometric processing creates elevated risk.</w:t>
      </w:r>
    </w:p>
    <w:p>
      <w:pPr>
        <w:spacing w:after="120" w:line="270"/>
      </w:pPr>
      <w:r>
        <w:rPr>
          <w:i w:val="false"/>
          <w:iCs w:val="false"/>
          <w:sz w:val="20"/>
          <w:szCs w:val="20"/>
        </w:rPr>
        <w:t xml:space="preserve">Privacy is therefore treated as both an encryption problem and a governance problem; the two are specified together rather than collapsed into encryption alone.</w:t>
      </w:r>
    </w:p>
    <w:p>
      <w:pPr>
        <w:pStyle w:val="Heading1"/>
        <w:keepNext/>
        <w:spacing w:after="130" w:before="320"/>
      </w:pPr>
      <w:r>
        <w:rPr>
          <w:b/>
          <w:bCs/>
          <w:color w:val="1F3A5F"/>
          <w:sz w:val="28"/>
          <w:szCs w:val="28"/>
        </w:rPr>
        <w:t xml:space="preserve">8. Chain, contract and anchoring assumptions</w:t>
      </w:r>
    </w:p>
    <w:p>
      <w:pPr>
        <w:spacing w:after="120" w:line="270"/>
      </w:pPr>
      <w:r>
        <w:rPr>
          <w:i w:val="false"/>
          <w:iCs w:val="false"/>
          <w:sz w:val="20"/>
          <w:szCs w:val="20"/>
        </w:rPr>
        <w:t xml:space="preserve">The white paper’s “independently verifiable” claim depends on explicit assumptions about the chain and contracts. This section states them.</w:t>
      </w:r>
    </w:p>
    <w:p>
      <w:pPr>
        <w:pStyle w:val="Heading2"/>
        <w:keepNext/>
        <w:spacing w:after="66" w:before="200"/>
      </w:pPr>
      <w:r>
        <w:rPr>
          <w:b/>
          <w:bCs/>
          <w:color w:val="168A92"/>
          <w:sz w:val="22"/>
          <w:szCs w:val="22"/>
        </w:rPr>
        <w:t xml:space="preserve">8.1 Contract surface</w:t>
      </w:r>
    </w:p>
    <w:p>
      <w:pPr>
        <w:spacing w:after="120" w:line="270"/>
      </w:pPr>
      <w:r>
        <w:rPr>
          <w:i w:val="false"/>
          <w:iCs w:val="false"/>
          <w:sz w:val="20"/>
          <w:szCs w:val="20"/>
        </w:rPr>
        <w:t xml:space="preserve">The first contract surface is deliberately small: project registration, agreement roots, attestation roots, session closure, checkpoint roots, branch registration, approved-version designation, and revocation or supersession references. Complex rights automation and payments are out of scope until identity, agreement and recognition models are validated.</w:t>
      </w:r>
    </w:p>
    <w:p>
      <w:pPr>
        <w:pStyle w:val="Heading2"/>
        <w:keepNext/>
        <w:spacing w:after="66" w:before="200"/>
      </w:pPr>
      <w:r>
        <w:rPr>
          <w:b/>
          <w:bCs/>
          <w:color w:val="168A92"/>
          <w:sz w:val="22"/>
          <w:szCs w:val="22"/>
        </w:rPr>
        <w:t xml:space="preserve">8.2 Upgradeability and registries</w:t>
      </w:r>
    </w:p>
    <w:p>
      <w:pPr>
        <w:pStyle w:val="ListParagraph"/>
        <w:numPr>
          <w:ilvl w:val="0"/>
          <w:numId w:val="2"/>
        </w:numPr>
        <w:spacing w:after="50" w:line="262"/>
      </w:pPr>
      <w:r>
        <w:rPr>
          <w:sz w:val="20"/>
          <w:szCs w:val="20"/>
        </w:rPr>
        <w:t xml:space="preserve">Contracts are versioned; a schema and contract registry maps versions to interfaces.</w:t>
      </w:r>
    </w:p>
    <w:p>
      <w:pPr>
        <w:pStyle w:val="ListParagraph"/>
        <w:numPr>
          <w:ilvl w:val="0"/>
          <w:numId w:val="2"/>
        </w:numPr>
        <w:spacing w:after="50" w:line="262"/>
      </w:pPr>
      <w:r>
        <w:rPr>
          <w:sz w:val="20"/>
          <w:szCs w:val="20"/>
        </w:rPr>
        <w:t xml:space="preserve">Upgrades deploy successor contracts; prior contracts remain resolvable so historical records stay verifiable.</w:t>
      </w:r>
    </w:p>
    <w:p>
      <w:pPr>
        <w:pStyle w:val="ListParagraph"/>
        <w:numPr>
          <w:ilvl w:val="0"/>
          <w:numId w:val="2"/>
        </w:numPr>
        <w:spacing w:after="50" w:line="262"/>
      </w:pPr>
      <w:r>
        <w:rPr>
          <w:sz w:val="20"/>
          <w:szCs w:val="20"/>
        </w:rPr>
        <w:t xml:space="preserve">No upgrade may rewrite a valid historical record; deprecation affects future use only.</w:t>
      </w:r>
    </w:p>
    <w:p>
      <w:pPr>
        <w:pStyle w:val="Heading2"/>
        <w:keepNext/>
        <w:spacing w:after="66" w:before="200"/>
      </w:pPr>
      <w:r>
        <w:rPr>
          <w:b/>
          <w:bCs/>
          <w:color w:val="168A92"/>
          <w:sz w:val="22"/>
          <w:szCs w:val="22"/>
        </w:rPr>
        <w:t xml:space="preserve">8.3 Replay, finality and reorganisation</w:t>
      </w:r>
    </w:p>
    <w:p>
      <w:pPr>
        <w:pStyle w:val="ListParagraph"/>
        <w:numPr>
          <w:ilvl w:val="0"/>
          <w:numId w:val="2"/>
        </w:numPr>
        <w:spacing w:after="50" w:line="262"/>
      </w:pPr>
      <w:r>
        <w:rPr>
          <w:sz w:val="20"/>
          <w:szCs w:val="20"/>
        </w:rPr>
        <w:t xml:space="preserve">On-chain actions carry the envelope nonce and contract-level replay protection so an action cannot be re-submitted or cross-applied.</w:t>
      </w:r>
    </w:p>
    <w:p>
      <w:pPr>
        <w:pStyle w:val="ListParagraph"/>
        <w:numPr>
          <w:ilvl w:val="0"/>
          <w:numId w:val="2"/>
        </w:numPr>
        <w:spacing w:after="50" w:line="262"/>
      </w:pPr>
      <w:r>
        <w:rPr>
          <w:sz w:val="20"/>
          <w:szCs w:val="20"/>
        </w:rPr>
        <w:t xml:space="preserve">Anchors are treated as final only after the network’s stated confirmation policy; the verification report distinguishes pending from confirmed anchors.</w:t>
      </w:r>
    </w:p>
    <w:p>
      <w:pPr>
        <w:pStyle w:val="ListParagraph"/>
        <w:numPr>
          <w:ilvl w:val="0"/>
          <w:numId w:val="2"/>
        </w:numPr>
        <w:spacing w:after="50" w:line="262"/>
      </w:pPr>
      <w:r>
        <w:rPr>
          <w:sz w:val="20"/>
          <w:szCs w:val="20"/>
        </w:rPr>
        <w:t xml:space="preserve">On reorganisation, a re-org-affected anchor reverts to pending and is re-anchored; local evidence and Merkle roots are unaffected.</w:t>
      </w:r>
    </w:p>
    <w:p>
      <w:pPr>
        <w:pStyle w:val="Heading2"/>
        <w:keepNext/>
        <w:spacing w:after="66" w:before="200"/>
      </w:pPr>
      <w:r>
        <w:rPr>
          <w:b/>
          <w:bCs/>
          <w:color w:val="168A92"/>
          <w:sz w:val="22"/>
          <w:szCs w:val="22"/>
        </w:rPr>
        <w:t xml:space="preserve">8.4 Sponsored transactions and fallback submission</w:t>
      </w:r>
    </w:p>
    <w:p>
      <w:pPr>
        <w:pStyle w:val="ListParagraph"/>
        <w:numPr>
          <w:ilvl w:val="0"/>
          <w:numId w:val="2"/>
        </w:numPr>
        <w:spacing w:after="50" w:line="262"/>
      </w:pPr>
      <w:r>
        <w:rPr>
          <w:sz w:val="20"/>
          <w:szCs w:val="20"/>
        </w:rPr>
        <w:t xml:space="preserve">Sponsorship pays fees on the participant’s behalf; the participant’s signature is over the envelope, independent of who pays.</w:t>
      </w:r>
    </w:p>
    <w:p>
      <w:pPr>
        <w:pStyle w:val="ListParagraph"/>
        <w:numPr>
          <w:ilvl w:val="0"/>
          <w:numId w:val="2"/>
        </w:numPr>
        <w:spacing w:after="50" w:line="262"/>
      </w:pPr>
      <w:r>
        <w:rPr>
          <w:sz w:val="20"/>
          <w:szCs w:val="20"/>
        </w:rPr>
        <w:t xml:space="preserve">If the sponsor is unavailable or refuses, the user MAY self-submit the same signed action, or defer anchoring while retaining local signed evidence.</w:t>
      </w:r>
    </w:p>
    <w:p>
      <w:pPr>
        <w:pStyle w:val="ListParagraph"/>
        <w:numPr>
          <w:ilvl w:val="0"/>
          <w:numId w:val="2"/>
        </w:numPr>
        <w:spacing w:after="50" w:line="262"/>
      </w:pPr>
      <w:r>
        <w:rPr>
          <w:sz w:val="20"/>
          <w:szCs w:val="20"/>
        </w:rPr>
        <w:t xml:space="preserve">Failed or replaced transactions are recorded; the signed action is idempotent under its nonce.</w:t>
      </w:r>
    </w:p>
    <w:p>
      <w:pPr>
        <w:pStyle w:val="Heading2"/>
        <w:keepNext/>
        <w:spacing w:after="66" w:before="200"/>
      </w:pPr>
      <w:r>
        <w:rPr>
          <w:b/>
          <w:bCs/>
          <w:color w:val="168A92"/>
          <w:sz w:val="22"/>
          <w:szCs w:val="22"/>
        </w:rPr>
        <w:t xml:space="preserve">8.5 Independent fallback anchoring</w:t>
      </w:r>
    </w:p>
    <w:p>
      <w:pPr>
        <w:spacing w:after="120" w:line="270"/>
      </w:pPr>
      <w:r>
        <w:rPr>
          <w:i w:val="false"/>
          <w:iCs w:val="false"/>
          <w:sz w:val="20"/>
          <w:szCs w:val="20"/>
        </w:rPr>
        <w:t xml:space="preserve">Because roots are content-addressed, the same evidence MAY be anchored through an alternative timestamping route (including direct Bitcoin timestamping) if the primary path is unavailable. The evidence package records which network and contract hold each anchor, so verification does not depend on a single path.</w:t>
      </w:r>
    </w:p>
    <w:p>
      <w:pPr>
        <w:pStyle w:val="Heading1"/>
        <w:keepNext/>
        <w:spacing w:after="130" w:before="320"/>
      </w:pPr>
      <w:r>
        <w:rPr>
          <w:b/>
          <w:bCs/>
          <w:color w:val="1F3A5F"/>
          <w:sz w:val="28"/>
          <w:szCs w:val="28"/>
        </w:rPr>
        <w:t xml:space="preserve">9. Registry governance and independent verification</w:t>
      </w:r>
    </w:p>
    <w:p>
      <w:pPr>
        <w:spacing w:after="120" w:line="270"/>
      </w:pPr>
      <w:r>
        <w:rPr>
          <w:i w:val="false"/>
          <w:iCs w:val="false"/>
          <w:sz w:val="20"/>
          <w:szCs w:val="20"/>
        </w:rPr>
        <w:t xml:space="preserve">Independent verification depends on registries: adapter versions, component profiles, identity-provider profiles, contract references, schema versions and revocation lists. Their governance determines whether a verifier can trust history without trusting a live endpoint.</w:t>
      </w:r>
    </w:p>
    <w:p>
      <w:pPr>
        <w:pStyle w:val="Heading2"/>
        <w:keepNext/>
        <w:spacing w:after="66" w:before="200"/>
      </w:pPr>
      <w:r>
        <w:rPr>
          <w:b/>
          <w:bCs/>
          <w:color w:val="168A92"/>
          <w:sz w:val="22"/>
          <w:szCs w:val="22"/>
        </w:rPr>
        <w:t xml:space="preserve">9.1 Signed, versioned, archived registries</w:t>
      </w:r>
    </w:p>
    <w:p>
      <w:pPr>
        <w:pStyle w:val="ListParagraph"/>
        <w:numPr>
          <w:ilvl w:val="0"/>
          <w:numId w:val="2"/>
        </w:numPr>
        <w:spacing w:after="50" w:line="262"/>
      </w:pPr>
      <w:r>
        <w:rPr>
          <w:sz w:val="20"/>
          <w:szCs w:val="20"/>
        </w:rPr>
        <w:t xml:space="preserve">Each registry is an append-only, cryptographically signed log; entries are versioned and timestamped.</w:t>
      </w:r>
    </w:p>
    <w:p>
      <w:pPr>
        <w:pStyle w:val="ListParagraph"/>
        <w:numPr>
          <w:ilvl w:val="0"/>
          <w:numId w:val="2"/>
        </w:numPr>
        <w:spacing w:after="50" w:line="262"/>
      </w:pPr>
      <w:r>
        <w:rPr>
          <w:sz w:val="20"/>
          <w:szCs w:val="20"/>
        </w:rPr>
        <w:t xml:space="preserve">Registry state is periodically anchored, so a verifier can prove which entries existed at a given time.</w:t>
      </w:r>
    </w:p>
    <w:p>
      <w:pPr>
        <w:pStyle w:val="ListParagraph"/>
        <w:numPr>
          <w:ilvl w:val="0"/>
          <w:numId w:val="2"/>
        </w:numPr>
        <w:spacing w:after="50" w:line="262"/>
      </w:pPr>
      <w:r>
        <w:rPr>
          <w:sz w:val="20"/>
          <w:szCs w:val="20"/>
        </w:rPr>
        <w:t xml:space="preserve">Archived snapshots are distributable, so verification does not require a live Xtrata service.</w:t>
      </w:r>
    </w:p>
    <w:p>
      <w:pPr>
        <w:pStyle w:val="Heading2"/>
        <w:keepNext/>
        <w:spacing w:after="66" w:before="200"/>
      </w:pPr>
      <w:r>
        <w:rPr>
          <w:b/>
          <w:bCs/>
          <w:color w:val="168A92"/>
          <w:sz w:val="22"/>
          <w:szCs w:val="22"/>
        </w:rPr>
        <w:t xml:space="preserve">9.2 Point-in-time resolution</w:t>
      </w:r>
    </w:p>
    <w:p>
      <w:pPr>
        <w:spacing w:after="120" w:line="270"/>
      </w:pPr>
      <w:r>
        <w:rPr>
          <w:i w:val="false"/>
          <w:iCs w:val="false"/>
          <w:sz w:val="20"/>
          <w:szCs w:val="20"/>
        </w:rPr>
        <w:t xml:space="preserve">A verifier resolves each referenced profile or contract to the version that was valid at the time the record was signed — not the latest version — using the signed registry log and the anchor timestamps. Revocation is evaluated as of the relevant time: a credential revoked after a valid signing does not retroactively invalidate that signature, though it affects later actions.</w:t>
      </w:r>
    </w:p>
    <w:p>
      <w:pPr>
        <w:pStyle w:val="Heading2"/>
        <w:keepNext/>
        <w:spacing w:after="66" w:before="200"/>
      </w:pPr>
      <w:r>
        <w:rPr>
          <w:b/>
          <w:bCs/>
          <w:color w:val="168A92"/>
          <w:sz w:val="22"/>
          <w:szCs w:val="22"/>
        </w:rPr>
        <w:t xml:space="preserve">9.3 Verifier algorithm (outline)</w:t>
      </w:r>
    </w:p>
    <w:p>
      <w:pPr>
        <w:pStyle w:val="ListParagraph"/>
        <w:numPr>
          <w:ilvl w:val="0"/>
          <w:numId w:val="3"/>
        </w:numPr>
        <w:spacing w:after="50" w:line="262"/>
      </w:pPr>
      <w:r>
        <w:rPr>
          <w:sz w:val="20"/>
          <w:szCs w:val="20"/>
        </w:rPr>
        <w:t xml:space="preserve">Load the portable evidence package and identify referenced schema, adapter, component-profile, identity-provider and contract versions.</w:t>
      </w:r>
    </w:p>
    <w:p>
      <w:pPr>
        <w:pStyle w:val="ListParagraph"/>
        <w:numPr>
          <w:ilvl w:val="0"/>
          <w:numId w:val="3"/>
        </w:numPr>
        <w:spacing w:after="50" w:line="262"/>
      </w:pPr>
      <w:r>
        <w:rPr>
          <w:sz w:val="20"/>
          <w:szCs w:val="20"/>
        </w:rPr>
        <w:t xml:space="preserve">Resolve each reference to its point-in-time registry entry via the signed logs and anchors.</w:t>
      </w:r>
    </w:p>
    <w:p>
      <w:pPr>
        <w:pStyle w:val="ListParagraph"/>
        <w:numPr>
          <w:ilvl w:val="0"/>
          <w:numId w:val="3"/>
        </w:numPr>
        <w:spacing w:after="50" w:line="262"/>
      </w:pPr>
      <w:r>
        <w:rPr>
          <w:sz w:val="20"/>
          <w:szCs w:val="20"/>
        </w:rPr>
        <w:t xml:space="preserve">Recompute canonical and asset roots under the named adapter/profile versions where the package includes the necessary inputs.</w:t>
      </w:r>
    </w:p>
    <w:p>
      <w:pPr>
        <w:pStyle w:val="ListParagraph"/>
        <w:numPr>
          <w:ilvl w:val="0"/>
          <w:numId w:val="3"/>
        </w:numPr>
        <w:spacing w:after="50" w:line="262"/>
      </w:pPr>
      <w:r>
        <w:rPr>
          <w:sz w:val="20"/>
          <w:szCs w:val="20"/>
        </w:rPr>
        <w:t xml:space="preserve">Verify each signature against its envelope and credential, applying the assurance profile and provider profile.</w:t>
      </w:r>
    </w:p>
    <w:p>
      <w:pPr>
        <w:pStyle w:val="ListParagraph"/>
        <w:numPr>
          <w:ilvl w:val="0"/>
          <w:numId w:val="3"/>
        </w:numPr>
        <w:spacing w:after="50" w:line="262"/>
      </w:pPr>
      <w:r>
        <w:rPr>
          <w:sz w:val="20"/>
          <w:szCs w:val="20"/>
        </w:rPr>
        <w:t xml:space="preserve">Verify checkpoint chaining and Merkle inclusion against the anchored roots.</w:t>
      </w:r>
    </w:p>
    <w:p>
      <w:pPr>
        <w:pStyle w:val="ListParagraph"/>
        <w:numPr>
          <w:ilvl w:val="0"/>
          <w:numId w:val="3"/>
        </w:numPr>
        <w:spacing w:after="50" w:line="262"/>
      </w:pPr>
      <w:r>
        <w:rPr>
          <w:sz w:val="20"/>
          <w:szCs w:val="20"/>
        </w:rPr>
        <w:t xml:space="preserve">Emit a scoped verification report stating exactly what was confirmed and at what assurance and coverage.</w:t>
      </w:r>
    </w:p>
    <w:p>
      <w:pPr>
        <w:pBdr>
          <w:top w:val="single" w:color="168A92" w:sz="4" w:space="8"/>
          <w:left w:val="single" w:color="168A92" w:sz="18" w:space="10"/>
          <w:bottom w:val="single" w:color="168A92" w:sz="4" w:space="8"/>
          <w:right w:val="single" w:color="168A92" w:sz="4" w:space="8"/>
        </w:pBdr>
        <w:shd w:fill="F1F8F8" w:color="auto" w:val="clear"/>
        <w:spacing w:after="150" w:before="120"/>
      </w:pPr>
      <w:r>
        <w:rPr>
          <w:b/>
          <w:bCs/>
          <w:color w:val="168A92"/>
          <w:sz w:val="20"/>
          <w:szCs w:val="20"/>
        </w:rPr>
        <w:t xml:space="preserve">No live oracle</w:t>
      </w:r>
      <w:r>
        <w:rPr>
          <w:sz w:val="20"/>
          <w:szCs w:val="20"/>
        </w:rPr>
        <w:t xml:space="preserve">  A conformant verifier reaches its result from the portable package, open specifications and archived signed registries. A live Xtrata endpoint may be convenient but must never be a required trusted oracle.</w:t>
      </w:r>
    </w:p>
    <w:p>
      <w:pPr>
        <w:pStyle w:val="Heading1"/>
        <w:keepNext/>
        <w:spacing w:after="130" w:before="320"/>
      </w:pPr>
      <w:r>
        <w:rPr>
          <w:b/>
          <w:bCs/>
          <w:color w:val="1F3A5F"/>
          <w:sz w:val="28"/>
          <w:szCs w:val="28"/>
        </w:rPr>
        <w:t xml:space="preserve">10. Core data objects</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4"/>
              <w:left w:type="dxa" w:w="100"/>
              <w:bottom w:type="dxa" w:w="54"/>
              <w:right w:type="dxa" w:w="100"/>
            </w:tcMar>
          </w:tcPr>
          <w:p>
            <w:r>
              <w:rPr>
                <w:b/>
                <w:bCs/>
                <w:color w:val="FFFFFF"/>
                <w:sz w:val="18"/>
                <w:szCs w:val="18"/>
              </w:rPr>
              <w:t xml:space="preserve">Object</w:t>
            </w:r>
          </w:p>
        </w:tc>
        <w:tc>
          <w:tcPr>
            <w:tcW w:type="dxa" w:w="6740"/>
            <w:shd w:fill="1F3A5F" w:color="auto" w:val="clear"/>
            <w:tcMar>
              <w:top w:type="dxa" w:w="54"/>
              <w:left w:type="dxa" w:w="100"/>
              <w:bottom w:type="dxa" w:w="54"/>
              <w:right w:type="dxa" w:w="100"/>
            </w:tcMar>
          </w:tcPr>
          <w:p>
            <w:r>
              <w:rPr>
                <w:b/>
                <w:bCs/>
                <w:color w:val="FFFFFF"/>
                <w:sz w:val="18"/>
                <w:szCs w:val="18"/>
              </w:rPr>
              <w:t xml:space="preserve">Function</w:t>
            </w:r>
          </w:p>
        </w:tc>
      </w:tr>
      <w:tr>
        <w:tc>
          <w:tcPr>
            <w:tcW w:type="dxa" w:w="3400"/>
            <w:tcMar>
              <w:top w:type="dxa" w:w="54"/>
              <w:left w:type="dxa" w:w="100"/>
              <w:bottom w:type="dxa" w:w="54"/>
              <w:right w:type="dxa" w:w="100"/>
            </w:tcMar>
          </w:tcPr>
          <w:p>
            <w:r>
              <w:rPr>
                <w:sz w:val="18"/>
                <w:szCs w:val="18"/>
              </w:rPr>
              <w:t xml:space="preserve">ProjectPassport</w:t>
            </w:r>
          </w:p>
        </w:tc>
        <w:tc>
          <w:tcPr>
            <w:tcW w:type="dxa" w:w="6740"/>
            <w:tcMar>
              <w:top w:type="dxa" w:w="54"/>
              <w:left w:type="dxa" w:w="100"/>
              <w:bottom w:type="dxa" w:w="54"/>
              <w:right w:type="dxa" w:w="100"/>
            </w:tcMar>
          </w:tcPr>
          <w:p>
            <w:r>
              <w:rPr>
                <w:sz w:val="18"/>
                <w:szCs w:val="18"/>
              </w:rPr>
              <w:t xml:space="preserve">Persistent project identity, policy references, current status, external identifiers.</w:t>
            </w:r>
          </w:p>
        </w:tc>
      </w:tr>
      <w:tr>
        <w:tc>
          <w:tcPr>
            <w:tcW w:type="dxa" w:w="3400"/>
            <w:shd w:fill="F3F5F7" w:color="auto" w:val="clear"/>
            <w:tcMar>
              <w:top w:type="dxa" w:w="54"/>
              <w:left w:type="dxa" w:w="100"/>
              <w:bottom w:type="dxa" w:w="54"/>
              <w:right w:type="dxa" w:w="100"/>
            </w:tcMar>
          </w:tcPr>
          <w:p>
            <w:r>
              <w:rPr>
                <w:sz w:val="18"/>
                <w:szCs w:val="18"/>
              </w:rPr>
              <w:t xml:space="preserve">GenesisPolicy</w:t>
            </w:r>
          </w:p>
        </w:tc>
        <w:tc>
          <w:tcPr>
            <w:tcW w:type="dxa" w:w="6740"/>
            <w:shd w:fill="F3F5F7" w:color="auto" w:val="clear"/>
            <w:tcMar>
              <w:top w:type="dxa" w:w="54"/>
              <w:left w:type="dxa" w:w="100"/>
              <w:bottom w:type="dxa" w:w="54"/>
              <w:right w:type="dxa" w:w="100"/>
            </w:tcMar>
          </w:tcPr>
          <w:p>
            <w:r>
              <w:rPr>
                <w:sz w:val="18"/>
                <w:szCs w:val="18"/>
              </w:rPr>
              <w:t xml:space="preserve">Signed governance policy: roles, action types, thresholds, succession and deadlock rules.</w:t>
            </w:r>
          </w:p>
        </w:tc>
      </w:tr>
      <w:tr>
        <w:tc>
          <w:tcPr>
            <w:tcW w:type="dxa" w:w="3400"/>
            <w:tcMar>
              <w:top w:type="dxa" w:w="54"/>
              <w:left w:type="dxa" w:w="100"/>
              <w:bottom w:type="dxa" w:w="54"/>
              <w:right w:type="dxa" w:w="100"/>
            </w:tcMar>
          </w:tcPr>
          <w:p>
            <w:r>
              <w:rPr>
                <w:sz w:val="18"/>
                <w:szCs w:val="18"/>
              </w:rPr>
              <w:t xml:space="preserve">IdentityClaim</w:t>
            </w:r>
          </w:p>
        </w:tc>
        <w:tc>
          <w:tcPr>
            <w:tcW w:type="dxa" w:w="6740"/>
            <w:tcMar>
              <w:top w:type="dxa" w:w="54"/>
              <w:left w:type="dxa" w:w="100"/>
              <w:bottom w:type="dxa" w:w="54"/>
              <w:right w:type="dxa" w:w="100"/>
            </w:tcMar>
          </w:tcPr>
          <w:p>
            <w:r>
              <w:rPr>
                <w:sz w:val="18"/>
                <w:szCs w:val="18"/>
              </w:rPr>
              <w:t xml:space="preserve">Links a participant to credentials, the assurance profile, and any provider profile and status.</w:t>
            </w:r>
          </w:p>
        </w:tc>
      </w:tr>
      <w:tr>
        <w:tc>
          <w:tcPr>
            <w:tcW w:type="dxa" w:w="3400"/>
            <w:shd w:fill="F3F5F7" w:color="auto" w:val="clear"/>
            <w:tcMar>
              <w:top w:type="dxa" w:w="54"/>
              <w:left w:type="dxa" w:w="100"/>
              <w:bottom w:type="dxa" w:w="54"/>
              <w:right w:type="dxa" w:w="100"/>
            </w:tcMar>
          </w:tcPr>
          <w:p>
            <w:r>
              <w:rPr>
                <w:sz w:val="18"/>
                <w:szCs w:val="18"/>
              </w:rPr>
              <w:t xml:space="preserve">Attestation</w:t>
            </w:r>
          </w:p>
        </w:tc>
        <w:tc>
          <w:tcPr>
            <w:tcW w:type="dxa" w:w="6740"/>
            <w:shd w:fill="F3F5F7" w:color="auto" w:val="clear"/>
            <w:tcMar>
              <w:top w:type="dxa" w:w="54"/>
              <w:left w:type="dxa" w:w="100"/>
              <w:bottom w:type="dxa" w:w="54"/>
              <w:right w:type="dxa" w:w="100"/>
            </w:tcMar>
          </w:tcPr>
          <w:p>
            <w:r>
              <w:rPr>
                <w:sz w:val="18"/>
                <w:szCs w:val="18"/>
              </w:rPr>
              <w:t xml:space="preserve">A signed statement over a canonical envelope covering a project, session, agreement or asset.</w:t>
            </w:r>
          </w:p>
        </w:tc>
      </w:tr>
      <w:tr>
        <w:tc>
          <w:tcPr>
            <w:tcW w:type="dxa" w:w="3400"/>
            <w:tcMar>
              <w:top w:type="dxa" w:w="54"/>
              <w:left w:type="dxa" w:w="100"/>
              <w:bottom w:type="dxa" w:w="54"/>
              <w:right w:type="dxa" w:w="100"/>
            </w:tcMar>
          </w:tcPr>
          <w:p>
            <w:r>
              <w:rPr>
                <w:sz w:val="18"/>
                <w:szCs w:val="18"/>
              </w:rPr>
              <w:t xml:space="preserve">AgreementVersion</w:t>
            </w:r>
          </w:p>
        </w:tc>
        <w:tc>
          <w:tcPr>
            <w:tcW w:type="dxa" w:w="6740"/>
            <w:tcMar>
              <w:top w:type="dxa" w:w="54"/>
              <w:left w:type="dxa" w:w="100"/>
              <w:bottom w:type="dxa" w:w="54"/>
              <w:right w:type="dxa" w:w="100"/>
            </w:tcMar>
          </w:tcPr>
          <w:p>
            <w:r>
              <w:rPr>
                <w:sz w:val="18"/>
                <w:szCs w:val="18"/>
              </w:rPr>
              <w:t xml:space="preserve">Immutable terms, rights category, required signers, threshold, approval status.</w:t>
            </w:r>
          </w:p>
        </w:tc>
      </w:tr>
      <w:tr>
        <w:tc>
          <w:tcPr>
            <w:tcW w:type="dxa" w:w="3400"/>
            <w:shd w:fill="F3F5F7" w:color="auto" w:val="clear"/>
            <w:tcMar>
              <w:top w:type="dxa" w:w="54"/>
              <w:left w:type="dxa" w:w="100"/>
              <w:bottom w:type="dxa" w:w="54"/>
              <w:right w:type="dxa" w:w="100"/>
            </w:tcMar>
          </w:tcPr>
          <w:p>
            <w:r>
              <w:rPr>
                <w:sz w:val="18"/>
                <w:szCs w:val="18"/>
              </w:rPr>
              <w:t xml:space="preserve">CheckpointManifest</w:t>
            </w:r>
          </w:p>
        </w:tc>
        <w:tc>
          <w:tcPr>
            <w:tcW w:type="dxa" w:w="6740"/>
            <w:shd w:fill="F3F5F7" w:color="auto" w:val="clear"/>
            <w:tcMar>
              <w:top w:type="dxa" w:w="54"/>
              <w:left w:type="dxa" w:w="100"/>
              <w:bottom w:type="dxa" w:w="54"/>
              <w:right w:type="dxa" w:w="100"/>
            </w:tcMar>
          </w:tcPr>
          <w:p>
            <w:r>
              <w:rPr>
                <w:sz w:val="18"/>
                <w:szCs w:val="18"/>
              </w:rPr>
              <w:t xml:space="preserve">Canonical/exact state and asset roots, component-profile references, previous-checkpoint link, signature.</w:t>
            </w:r>
          </w:p>
        </w:tc>
      </w:tr>
      <w:tr>
        <w:tc>
          <w:tcPr>
            <w:tcW w:type="dxa" w:w="3400"/>
            <w:tcMar>
              <w:top w:type="dxa" w:w="54"/>
              <w:left w:type="dxa" w:w="100"/>
              <w:bottom w:type="dxa" w:w="54"/>
              <w:right w:type="dxa" w:w="100"/>
            </w:tcMar>
          </w:tcPr>
          <w:p>
            <w:r>
              <w:rPr>
                <w:sz w:val="18"/>
                <w:szCs w:val="18"/>
              </w:rPr>
              <w:t xml:space="preserve">ComponentProfile</w:t>
            </w:r>
          </w:p>
        </w:tc>
        <w:tc>
          <w:tcPr>
            <w:tcW w:type="dxa" w:w="6740"/>
            <w:tcMar>
              <w:top w:type="dxa" w:w="54"/>
              <w:left w:type="dxa" w:w="100"/>
              <w:bottom w:type="dxa" w:w="54"/>
              <w:right w:type="dxa" w:w="100"/>
            </w:tcMar>
          </w:tcPr>
          <w:p>
            <w:r>
              <w:rPr>
                <w:sz w:val="18"/>
                <w:szCs w:val="18"/>
              </w:rPr>
              <w:t xml:space="preserve">Tested normalisation and verification rules for a plugin or proprietary component.</w:t>
            </w:r>
          </w:p>
        </w:tc>
      </w:tr>
      <w:tr>
        <w:tc>
          <w:tcPr>
            <w:tcW w:type="dxa" w:w="3400"/>
            <w:shd w:fill="F3F5F7" w:color="auto" w:val="clear"/>
            <w:tcMar>
              <w:top w:type="dxa" w:w="54"/>
              <w:left w:type="dxa" w:w="100"/>
              <w:bottom w:type="dxa" w:w="54"/>
              <w:right w:type="dxa" w:w="100"/>
            </w:tcMar>
          </w:tcPr>
          <w:p>
            <w:r>
              <w:rPr>
                <w:sz w:val="18"/>
                <w:szCs w:val="18"/>
              </w:rPr>
              <w:t xml:space="preserve">SessionRecord</w:t>
            </w:r>
          </w:p>
        </w:tc>
        <w:tc>
          <w:tcPr>
            <w:tcW w:type="dxa" w:w="6740"/>
            <w:shd w:fill="F3F5F7" w:color="auto" w:val="clear"/>
            <w:tcMar>
              <w:top w:type="dxa" w:w="54"/>
              <w:left w:type="dxa" w:w="100"/>
              <w:bottom w:type="dxa" w:w="54"/>
              <w:right w:type="dxa" w:w="100"/>
            </w:tcMar>
          </w:tcPr>
          <w:p>
            <w:r>
              <w:rPr>
                <w:sz w:val="18"/>
                <w:szCs w:val="18"/>
              </w:rPr>
              <w:t xml:space="preserve">Participant set, checkpoint range, notes, exports, closure root.</w:t>
            </w:r>
          </w:p>
        </w:tc>
      </w:tr>
      <w:tr>
        <w:tc>
          <w:tcPr>
            <w:tcW w:type="dxa" w:w="3400"/>
            <w:tcMar>
              <w:top w:type="dxa" w:w="54"/>
              <w:left w:type="dxa" w:w="100"/>
              <w:bottom w:type="dxa" w:w="54"/>
              <w:right w:type="dxa" w:w="100"/>
            </w:tcMar>
          </w:tcPr>
          <w:p>
            <w:r>
              <w:rPr>
                <w:sz w:val="18"/>
                <w:szCs w:val="18"/>
              </w:rPr>
              <w:t xml:space="preserve">BranchRelationship</w:t>
            </w:r>
          </w:p>
        </w:tc>
        <w:tc>
          <w:tcPr>
            <w:tcW w:type="dxa" w:w="6740"/>
            <w:tcMar>
              <w:top w:type="dxa" w:w="54"/>
              <w:left w:type="dxa" w:w="100"/>
              <w:bottom w:type="dxa" w:w="54"/>
              <w:right w:type="dxa" w:w="100"/>
            </w:tcMar>
          </w:tcPr>
          <w:p>
            <w:r>
              <w:rPr>
                <w:sz w:val="18"/>
                <w:szCs w:val="18"/>
              </w:rPr>
              <w:t xml:space="preserve">Parent project/checkpoint, child project, purpose, authorisation status.</w:t>
            </w:r>
          </w:p>
        </w:tc>
      </w:tr>
      <w:tr>
        <w:tc>
          <w:tcPr>
            <w:tcW w:type="dxa" w:w="3400"/>
            <w:shd w:fill="F3F5F7" w:color="auto" w:val="clear"/>
            <w:tcMar>
              <w:top w:type="dxa" w:w="54"/>
              <w:left w:type="dxa" w:w="100"/>
              <w:bottom w:type="dxa" w:w="54"/>
              <w:right w:type="dxa" w:w="100"/>
            </w:tcMar>
          </w:tcPr>
          <w:p>
            <w:r>
              <w:rPr>
                <w:sz w:val="18"/>
                <w:szCs w:val="18"/>
              </w:rPr>
              <w:t xml:space="preserve">AssetRecord / ApprovedRender</w:t>
            </w:r>
          </w:p>
        </w:tc>
        <w:tc>
          <w:tcPr>
            <w:tcW w:type="dxa" w:w="6740"/>
            <w:shd w:fill="F3F5F7" w:color="auto" w:val="clear"/>
            <w:tcMar>
              <w:top w:type="dxa" w:w="54"/>
              <w:left w:type="dxa" w:w="100"/>
              <w:bottom w:type="dxa" w:w="54"/>
              <w:right w:type="dxa" w:w="100"/>
            </w:tcMar>
          </w:tcPr>
          <w:p>
            <w:r>
              <w:rPr>
                <w:sz w:val="18"/>
                <w:szCs w:val="18"/>
              </w:rPr>
              <w:t xml:space="preserve">Hash and role of a mix, master or stem, with render environment and approval where applicable.</w:t>
            </w:r>
          </w:p>
        </w:tc>
      </w:tr>
      <w:tr>
        <w:tc>
          <w:tcPr>
            <w:tcW w:type="dxa" w:w="3400"/>
            <w:tcMar>
              <w:top w:type="dxa" w:w="54"/>
              <w:left w:type="dxa" w:w="100"/>
              <w:bottom w:type="dxa" w:w="54"/>
              <w:right w:type="dxa" w:w="100"/>
            </w:tcMar>
          </w:tcPr>
          <w:p>
            <w:r>
              <w:rPr>
                <w:sz w:val="18"/>
                <w:szCs w:val="18"/>
              </w:rPr>
              <w:t xml:space="preserve">VerificationReport</w:t>
            </w:r>
          </w:p>
        </w:tc>
        <w:tc>
          <w:tcPr>
            <w:tcW w:type="dxa" w:w="6740"/>
            <w:tcMar>
              <w:top w:type="dxa" w:w="54"/>
              <w:left w:type="dxa" w:w="100"/>
              <w:bottom w:type="dxa" w:w="54"/>
              <w:right w:type="dxa" w:w="100"/>
            </w:tcMar>
          </w:tcPr>
          <w:p>
            <w:r>
              <w:rPr>
                <w:sz w:val="18"/>
                <w:szCs w:val="18"/>
              </w:rPr>
              <w:t xml:space="preserve">Human- and machine-readable statement of what was verified, under which rules and limits.</w:t>
            </w:r>
          </w:p>
        </w:tc>
      </w:tr>
    </w:tbl>
    <w:p>
      <w:pPr>
        <w:spacing w:after="60"/>
      </w:pPr>
      <w:r>
        <w:rPr>
          <w:sz w:val="6"/>
          <w:szCs w:val="6"/>
        </w:rPr>
        <w:t xml:space="preserve"/>
      </w:r>
    </w:p>
    <w:p>
      <w:pPr>
        <w:pStyle w:val="Heading1"/>
        <w:keepNext/>
        <w:spacing w:after="130" w:before="320"/>
      </w:pPr>
      <w:r>
        <w:rPr>
          <w:b/>
          <w:bCs/>
          <w:color w:val="1F3A5F"/>
          <w:sz w:val="28"/>
          <w:szCs w:val="28"/>
        </w:rPr>
        <w:t xml:space="preserve">11. Illustrative canonical manifest</w:t>
      </w:r>
    </w:p>
    <w:p>
      <w:pPr>
        <w:spacing w:after="60" w:line="270"/>
      </w:pPr>
      <w:r>
        <w:rPr>
          <w:i w:val="false"/>
          <w:iCs w:val="false"/>
          <w:sz w:val="20"/>
          <w:szCs w:val="20"/>
        </w:rPr>
        <w:t xml:space="preserve">Illustrative only; not a final schema.</w:t>
      </w:r>
    </w:p>
    <w:p>
      <w:pPr>
        <w:pBdr>
          <w:top w:val="single" w:color="DDDDDD" w:sz="2" w:space="6"/>
          <w:left w:val="single" w:color="CCCCCC" w:sz="14" w:space="8"/>
          <w:bottom w:val="single" w:color="DDDDDD" w:sz="2" w:space="6"/>
          <w:right w:val="single" w:color="DDDDDD" w:sz="2" w:space="6"/>
        </w:pBdr>
        <w:shd w:fill="F5F5F5" w:color="auto" w:val="clear"/>
        <w:spacing w:after="150" w:before="40"/>
      </w:pPr>
      <w:r>
        <w:rPr>
          <w:rFonts w:ascii="Consolas" w:cs="Consolas" w:eastAsia="Consolas" w:hAnsi="Consolas"/>
          <w:sz w:val="16"/>
          <w:szCs w:val="16"/>
        </w:rPr>
        <w:t xml:space="preserve">{</w:t>
      </w:r>
      <w:r>
        <w:rPr>
          <w:rFonts w:ascii="Consolas" w:cs="Consolas" w:eastAsia="Consolas" w:hAnsi="Consolas"/>
          <w:sz w:val="16"/>
          <w:szCs w:val="16"/>
        </w:rPr>
        <w:br/>
        <w:t xml:space="preserve">  "schema": "xtrata.proof-of-session.checkpoint/0.5",</w:t>
      </w:r>
      <w:r>
        <w:rPr>
          <w:rFonts w:ascii="Consolas" w:cs="Consolas" w:eastAsia="Consolas" w:hAnsi="Consolas"/>
          <w:sz w:val="16"/>
          <w:szCs w:val="16"/>
        </w:rPr>
        <w:br/>
        <w:t xml:space="preserve">  "project_id": "xpos_7f3...",</w:t>
      </w:r>
      <w:r>
        <w:rPr>
          <w:rFonts w:ascii="Consolas" w:cs="Consolas" w:eastAsia="Consolas" w:hAnsi="Consolas"/>
          <w:sz w:val="16"/>
          <w:szCs w:val="16"/>
        </w:rPr>
        <w:br/>
        <w:t xml:space="preserve">  "adapter": {</w:t>
      </w:r>
      <w:r>
        <w:rPr>
          <w:rFonts w:ascii="Consolas" w:cs="Consolas" w:eastAsia="Consolas" w:hAnsi="Consolas"/>
          <w:sz w:val="16"/>
          <w:szCs w:val="16"/>
        </w:rPr>
        <w:br/>
        <w:t xml:space="preserve">    "daw_family": "supported-daw",</w:t>
      </w:r>
      <w:r>
        <w:rPr>
          <w:rFonts w:ascii="Consolas" w:cs="Consolas" w:eastAsia="Consolas" w:hAnsi="Consolas"/>
          <w:sz w:val="16"/>
          <w:szCs w:val="16"/>
        </w:rPr>
        <w:br/>
        <w:t xml:space="preserve">    "project_format": "format-version",</w:t>
      </w:r>
      <w:r>
        <w:rPr>
          <w:rFonts w:ascii="Consolas" w:cs="Consolas" w:eastAsia="Consolas" w:hAnsi="Consolas"/>
          <w:sz w:val="16"/>
          <w:szCs w:val="16"/>
        </w:rPr>
        <w:br/>
        <w:t xml:space="preserve">    "adapter_version": "0.5.0",</w:t>
      </w:r>
      <w:r>
        <w:rPr>
          <w:rFonts w:ascii="Consolas" w:cs="Consolas" w:eastAsia="Consolas" w:hAnsi="Consolas"/>
          <w:sz w:val="16"/>
          <w:szCs w:val="16"/>
        </w:rPr>
        <w:br/>
        <w:t xml:space="preserve">    "support_status": "validated",</w:t>
      </w:r>
      <w:r>
        <w:rPr>
          <w:rFonts w:ascii="Consolas" w:cs="Consolas" w:eastAsia="Consolas" w:hAnsi="Consolas"/>
          <w:sz w:val="16"/>
          <w:szCs w:val="16"/>
        </w:rPr>
        <w:br/>
        <w:t xml:space="preserve">    "verification_scope": "canonical-state",</w:t>
      </w:r>
      <w:r>
        <w:rPr>
          <w:rFonts w:ascii="Consolas" w:cs="Consolas" w:eastAsia="Consolas" w:hAnsi="Consolas"/>
          <w:sz w:val="16"/>
          <w:szCs w:val="16"/>
        </w:rPr>
        <w:br/>
        <w:t xml:space="preserve">    "tested_change_classes": "standard-corpus/0.5"</w:t>
      </w:r>
      <w:r>
        <w:rPr>
          <w:rFonts w:ascii="Consolas" w:cs="Consolas" w:eastAsia="Consolas" w:hAnsi="Consolas"/>
          <w:sz w:val="16"/>
          <w:szCs w:val="16"/>
        </w:rPr>
        <w:br/>
        <w:t xml:space="preserve">  },</w:t>
      </w:r>
      <w:r>
        <w:rPr>
          <w:rFonts w:ascii="Consolas" w:cs="Consolas" w:eastAsia="Consolas" w:hAnsi="Consolas"/>
          <w:sz w:val="16"/>
          <w:szCs w:val="16"/>
        </w:rPr>
        <w:br/>
        <w:t xml:space="preserve">  "state": {</w:t>
      </w:r>
      <w:r>
        <w:rPr>
          <w:rFonts w:ascii="Consolas" w:cs="Consolas" w:eastAsia="Consolas" w:hAnsi="Consolas"/>
          <w:sz w:val="16"/>
          <w:szCs w:val="16"/>
        </w:rPr>
        <w:br/>
        <w:t xml:space="preserve">    "exact_snapshot_hash": "sha256:...",</w:t>
      </w:r>
      <w:r>
        <w:rPr>
          <w:rFonts w:ascii="Consolas" w:cs="Consolas" w:eastAsia="Consolas" w:hAnsi="Consolas"/>
          <w:sz w:val="16"/>
          <w:szCs w:val="16"/>
        </w:rPr>
        <w:br/>
        <w:t xml:space="preserve">    "canonical_state_hash": "sha256:...",</w:t>
      </w:r>
      <w:r>
        <w:rPr>
          <w:rFonts w:ascii="Consolas" w:cs="Consolas" w:eastAsia="Consolas" w:hAnsi="Consolas"/>
          <w:sz w:val="16"/>
          <w:szCs w:val="16"/>
        </w:rPr>
        <w:br/>
        <w:t xml:space="preserve">    "asset_root": "sha256:...",</w:t>
      </w:r>
      <w:r>
        <w:rPr>
          <w:rFonts w:ascii="Consolas" w:cs="Consolas" w:eastAsia="Consolas" w:hAnsi="Consolas"/>
          <w:sz w:val="16"/>
          <w:szCs w:val="16"/>
        </w:rPr>
        <w:br/>
        <w:t xml:space="preserve">    "opaque_state_root": "sha256:...",</w:t>
      </w:r>
      <w:r>
        <w:rPr>
          <w:rFonts w:ascii="Consolas" w:cs="Consolas" w:eastAsia="Consolas" w:hAnsi="Consolas"/>
          <w:sz w:val="16"/>
          <w:szCs w:val="16"/>
        </w:rPr>
        <w:br/>
        <w:t xml:space="preserve">    "component_profile_root": "sha256:...",</w:t>
      </w:r>
      <w:r>
        <w:rPr>
          <w:rFonts w:ascii="Consolas" w:cs="Consolas" w:eastAsia="Consolas" w:hAnsi="Consolas"/>
          <w:sz w:val="16"/>
          <w:szCs w:val="16"/>
        </w:rPr>
        <w:br/>
        <w:t xml:space="preserve">    "unresolved_dependencies": 1,</w:t>
      </w:r>
      <w:r>
        <w:rPr>
          <w:rFonts w:ascii="Consolas" w:cs="Consolas" w:eastAsia="Consolas" w:hAnsi="Consolas"/>
          <w:sz w:val="16"/>
          <w:szCs w:val="16"/>
        </w:rPr>
        <w:br/>
        <w:t xml:space="preserve">    "unstable_components": 0</w:t>
      </w:r>
      <w:r>
        <w:rPr>
          <w:rFonts w:ascii="Consolas" w:cs="Consolas" w:eastAsia="Consolas" w:hAnsi="Consolas"/>
          <w:sz w:val="16"/>
          <w:szCs w:val="16"/>
        </w:rPr>
        <w:br/>
        <w:t xml:space="preserve">  },</w:t>
      </w:r>
      <w:r>
        <w:rPr>
          <w:rFonts w:ascii="Consolas" w:cs="Consolas" w:eastAsia="Consolas" w:hAnsi="Consolas"/>
          <w:sz w:val="16"/>
          <w:szCs w:val="16"/>
        </w:rPr>
        <w:br/>
        <w:t xml:space="preserve">  "previous_checkpoint": "sha256:...",</w:t>
      </w:r>
      <w:r>
        <w:rPr>
          <w:rFonts w:ascii="Consolas" w:cs="Consolas" w:eastAsia="Consolas" w:hAnsi="Consolas"/>
          <w:sz w:val="16"/>
          <w:szCs w:val="16"/>
        </w:rPr>
        <w:br/>
        <w:t xml:space="preserve">  "created_at": "2026-07-23T22:47:00Z",</w:t>
      </w:r>
      <w:r>
        <w:rPr>
          <w:rFonts w:ascii="Consolas" w:cs="Consolas" w:eastAsia="Consolas" w:hAnsi="Consolas"/>
          <w:sz w:val="16"/>
          <w:szCs w:val="16"/>
        </w:rPr>
        <w:br/>
        <w:t xml:space="preserve">  "signer": {</w:t>
      </w:r>
      <w:r>
        <w:rPr>
          <w:rFonts w:ascii="Consolas" w:cs="Consolas" w:eastAsia="Consolas" w:hAnsi="Consolas"/>
          <w:sz w:val="16"/>
          <w:szCs w:val="16"/>
        </w:rPr>
        <w:br/>
        <w:t xml:space="preserve">    "credential": "did-or-public-key-reference",</w:t>
      </w:r>
      <w:r>
        <w:rPr>
          <w:rFonts w:ascii="Consolas" w:cs="Consolas" w:eastAsia="Consolas" w:hAnsi="Consolas"/>
          <w:sz w:val="16"/>
          <w:szCs w:val="16"/>
        </w:rPr>
        <w:br/>
        <w:t xml:space="preserve">    "assurance_profile": {</w:t>
      </w:r>
      <w:r>
        <w:rPr>
          <w:rFonts w:ascii="Consolas" w:cs="Consolas" w:eastAsia="Consolas" w:hAnsi="Consolas"/>
          <w:sz w:val="16"/>
          <w:szCs w:val="16"/>
        </w:rPr>
        <w:br/>
        <w:t xml:space="preserve">      "credential_control": "cryptographically-controlled",</w:t>
      </w:r>
      <w:r>
        <w:rPr>
          <w:rFonts w:ascii="Consolas" w:cs="Consolas" w:eastAsia="Consolas" w:hAnsi="Consolas"/>
          <w:sz w:val="16"/>
          <w:szCs w:val="16"/>
        </w:rPr>
        <w:br/>
        <w:t xml:space="preserve">      "identity_proofing": "none",</w:t>
      </w:r>
      <w:r>
        <w:rPr>
          <w:rFonts w:ascii="Consolas" w:cs="Consolas" w:eastAsia="Consolas" w:hAnsi="Consolas"/>
          <w:sz w:val="16"/>
          <w:szCs w:val="16"/>
        </w:rPr>
        <w:br/>
        <w:t xml:space="preserve">      "authority": "personal",</w:t>
      </w:r>
      <w:r>
        <w:rPr>
          <w:rFonts w:ascii="Consolas" w:cs="Consolas" w:eastAsia="Consolas" w:hAnsi="Consolas"/>
          <w:sz w:val="16"/>
          <w:szCs w:val="16"/>
        </w:rPr>
        <w:br/>
        <w:t xml:space="preserve">      "signing_ceremony": "payload-bound",</w:t>
      </w:r>
      <w:r>
        <w:rPr>
          <w:rFonts w:ascii="Consolas" w:cs="Consolas" w:eastAsia="Consolas" w:hAnsi="Consolas"/>
          <w:sz w:val="16"/>
          <w:szCs w:val="16"/>
        </w:rPr>
        <w:br/>
        <w:t xml:space="preserve">      "provider_status": "self-issued",</w:t>
      </w:r>
      <w:r>
        <w:rPr>
          <w:rFonts w:ascii="Consolas" w:cs="Consolas" w:eastAsia="Consolas" w:hAnsi="Consolas"/>
          <w:sz w:val="16"/>
          <w:szCs w:val="16"/>
        </w:rPr>
        <w:br/>
        <w:t xml:space="preserve">      "label": "A2"</w:t>
      </w:r>
      <w:r>
        <w:rPr>
          <w:rFonts w:ascii="Consolas" w:cs="Consolas" w:eastAsia="Consolas" w:hAnsi="Consolas"/>
          <w:sz w:val="16"/>
          <w:szCs w:val="16"/>
        </w:rPr>
        <w:br/>
        <w:t xml:space="preserve">    }</w:t>
      </w:r>
      <w:r>
        <w:rPr>
          <w:rFonts w:ascii="Consolas" w:cs="Consolas" w:eastAsia="Consolas" w:hAnsi="Consolas"/>
          <w:sz w:val="16"/>
          <w:szCs w:val="16"/>
        </w:rPr>
        <w:br/>
        <w:t xml:space="preserve">  },</w:t>
      </w:r>
      <w:r>
        <w:rPr>
          <w:rFonts w:ascii="Consolas" w:cs="Consolas" w:eastAsia="Consolas" w:hAnsi="Consolas"/>
          <w:sz w:val="16"/>
          <w:szCs w:val="16"/>
        </w:rPr>
        <w:br/>
        <w:t xml:space="preserve">  "envelope_ref": "sha256:...",</w:t>
      </w:r>
      <w:r>
        <w:rPr>
          <w:rFonts w:ascii="Consolas" w:cs="Consolas" w:eastAsia="Consolas" w:hAnsi="Consolas"/>
          <w:sz w:val="16"/>
          <w:szCs w:val="16"/>
        </w:rPr>
        <w:br/>
        <w:t xml:space="preserve">  "anchor": { "network": "stacks", "contract": "...", "receipt": "...", "status": "confirmed" },</w:t>
      </w:r>
      <w:r>
        <w:rPr>
          <w:rFonts w:ascii="Consolas" w:cs="Consolas" w:eastAsia="Consolas" w:hAnsi="Consolas"/>
          <w:sz w:val="16"/>
          <w:szCs w:val="16"/>
        </w:rPr>
        <w:br/>
        <w:t xml:space="preserve">  "signature": "..."</w:t>
      </w:r>
      <w:r>
        <w:rPr>
          <w:rFonts w:ascii="Consolas" w:cs="Consolas" w:eastAsia="Consolas" w:hAnsi="Consolas"/>
          <w:sz w:val="16"/>
          <w:szCs w:val="16"/>
        </w:rPr>
        <w:br/>
        <w:t xml:space="preserve">}</w:t>
      </w:r>
    </w:p>
    <w:p>
      <w:pPr>
        <w:pStyle w:val="Heading1"/>
        <w:keepNext/>
        <w:spacing w:after="130" w:before="320"/>
      </w:pPr>
      <w:r>
        <w:rPr>
          <w:b/>
          <w:bCs/>
          <w:color w:val="1F3A5F"/>
          <w:sz w:val="28"/>
          <w:szCs w:val="28"/>
        </w:rPr>
        <w:t xml:space="preserve">Appendix. Illustrative signable envelope</w:t>
      </w:r>
    </w:p>
    <w:p>
      <w:pPr>
        <w:spacing w:after="60" w:line="270"/>
      </w:pPr>
      <w:r>
        <w:rPr>
          <w:i w:val="false"/>
          <w:iCs w:val="false"/>
          <w:sz w:val="20"/>
          <w:szCs w:val="20"/>
        </w:rPr>
        <w:t xml:space="preserve">Illustrative only.</w:t>
      </w:r>
    </w:p>
    <w:p>
      <w:pPr>
        <w:pBdr>
          <w:top w:val="single" w:color="DDDDDD" w:sz="2" w:space="6"/>
          <w:left w:val="single" w:color="CCCCCC" w:sz="14" w:space="8"/>
          <w:bottom w:val="single" w:color="DDDDDD" w:sz="2" w:space="6"/>
          <w:right w:val="single" w:color="DDDDDD" w:sz="2" w:space="6"/>
        </w:pBdr>
        <w:shd w:fill="F5F5F5" w:color="auto" w:val="clear"/>
        <w:spacing w:after="150" w:before="40"/>
      </w:pPr>
      <w:r>
        <w:rPr>
          <w:rFonts w:ascii="Consolas" w:cs="Consolas" w:eastAsia="Consolas" w:hAnsi="Consolas"/>
          <w:sz w:val="16"/>
          <w:szCs w:val="16"/>
        </w:rPr>
        <w:t xml:space="preserve">{</w:t>
      </w:r>
      <w:r>
        <w:rPr>
          <w:rFonts w:ascii="Consolas" w:cs="Consolas" w:eastAsia="Consolas" w:hAnsi="Consolas"/>
          <w:sz w:val="16"/>
          <w:szCs w:val="16"/>
        </w:rPr>
        <w:br/>
        <w:t xml:space="preserve">  "schema": "xtrata.envelope/0.5",</w:t>
      </w:r>
      <w:r>
        <w:rPr>
          <w:rFonts w:ascii="Consolas" w:cs="Consolas" w:eastAsia="Consolas" w:hAnsi="Consolas"/>
          <w:sz w:val="16"/>
          <w:szCs w:val="16"/>
        </w:rPr>
        <w:br/>
        <w:t xml:space="preserve">  "network": "stacks", "contract": "contract-reference",</w:t>
      </w:r>
      <w:r>
        <w:rPr>
          <w:rFonts w:ascii="Consolas" w:cs="Consolas" w:eastAsia="Consolas" w:hAnsi="Consolas"/>
          <w:sz w:val="16"/>
          <w:szCs w:val="16"/>
        </w:rPr>
        <w:br/>
        <w:t xml:space="preserve">  "project_id": "xpos_7f3...",</w:t>
      </w:r>
      <w:r>
        <w:rPr>
          <w:rFonts w:ascii="Consolas" w:cs="Consolas" w:eastAsia="Consolas" w:hAnsi="Consolas"/>
          <w:sz w:val="16"/>
          <w:szCs w:val="16"/>
        </w:rPr>
        <w:br/>
        <w:t xml:space="preserve">  "action_type": "approve_split",</w:t>
      </w:r>
      <w:r>
        <w:rPr>
          <w:rFonts w:ascii="Consolas" w:cs="Consolas" w:eastAsia="Consolas" w:hAnsi="Consolas"/>
          <w:sz w:val="16"/>
          <w:szCs w:val="16"/>
        </w:rPr>
        <w:br/>
        <w:t xml:space="preserve">  "subject_hash": "sha256:agreement-v3...",</w:t>
      </w:r>
      <w:r>
        <w:rPr>
          <w:rFonts w:ascii="Consolas" w:cs="Consolas" w:eastAsia="Consolas" w:hAnsi="Consolas"/>
          <w:sz w:val="16"/>
          <w:szCs w:val="16"/>
        </w:rPr>
        <w:br/>
        <w:t xml:space="preserve">  "statement_hash": "sha256:human-readable-statement...",</w:t>
      </w:r>
      <w:r>
        <w:rPr>
          <w:rFonts w:ascii="Consolas" w:cs="Consolas" w:eastAsia="Consolas" w:hAnsi="Consolas"/>
          <w:sz w:val="16"/>
          <w:szCs w:val="16"/>
        </w:rPr>
        <w:br/>
        <w:t xml:space="preserve">  "attachment_hashes": ["sha256:..."],</w:t>
      </w:r>
      <w:r>
        <w:rPr>
          <w:rFonts w:ascii="Consolas" w:cs="Consolas" w:eastAsia="Consolas" w:hAnsi="Consolas"/>
          <w:sz w:val="16"/>
          <w:szCs w:val="16"/>
        </w:rPr>
        <w:br/>
        <w:t xml:space="preserve">  "signer_credential": "did-or-public-key-reference",</w:t>
      </w:r>
      <w:r>
        <w:rPr>
          <w:rFonts w:ascii="Consolas" w:cs="Consolas" w:eastAsia="Consolas" w:hAnsi="Consolas"/>
          <w:sz w:val="16"/>
          <w:szCs w:val="16"/>
        </w:rPr>
        <w:br/>
        <w:t xml:space="preserve">  "represented_party": null,</w:t>
      </w:r>
      <w:r>
        <w:rPr>
          <w:rFonts w:ascii="Consolas" w:cs="Consolas" w:eastAsia="Consolas" w:hAnsi="Consolas"/>
          <w:sz w:val="16"/>
          <w:szCs w:val="16"/>
        </w:rPr>
        <w:br/>
        <w:t xml:space="preserve">  "required_assurance": "release-facing:identity-verified",</w:t>
      </w:r>
      <w:r>
        <w:rPr>
          <w:rFonts w:ascii="Consolas" w:cs="Consolas" w:eastAsia="Consolas" w:hAnsi="Consolas"/>
          <w:sz w:val="16"/>
          <w:szCs w:val="16"/>
        </w:rPr>
        <w:br/>
        <w:t xml:space="preserve">  "app_domain": "app.xtrata.example",</w:t>
      </w:r>
      <w:r>
        <w:rPr>
          <w:rFonts w:ascii="Consolas" w:cs="Consolas" w:eastAsia="Consolas" w:hAnsi="Consolas"/>
          <w:sz w:val="16"/>
          <w:szCs w:val="16"/>
        </w:rPr>
        <w:br/>
        <w:t xml:space="preserve">  "issued_at": "2026-07-23T22:40:00Z",</w:t>
      </w:r>
      <w:r>
        <w:rPr>
          <w:rFonts w:ascii="Consolas" w:cs="Consolas" w:eastAsia="Consolas" w:hAnsi="Consolas"/>
          <w:sz w:val="16"/>
          <w:szCs w:val="16"/>
        </w:rPr>
        <w:br/>
        <w:t xml:space="preserve">  "expiry":    "2026-07-23T23:40:00Z",</w:t>
      </w:r>
      <w:r>
        <w:rPr>
          <w:rFonts w:ascii="Consolas" w:cs="Consolas" w:eastAsia="Consolas" w:hAnsi="Consolas"/>
          <w:sz w:val="16"/>
          <w:szCs w:val="16"/>
        </w:rPr>
        <w:br/>
        <w:t xml:space="preserve">  "nonce": "b7a1..."</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 passkey:  challenge = sha256(canonical_serialisation(envelope))</w:t>
      </w:r>
      <w:r>
        <w:rPr>
          <w:rFonts w:ascii="Consolas" w:cs="Consolas" w:eastAsia="Consolas" w:hAnsi="Consolas"/>
          <w:sz w:val="16"/>
          <w:szCs w:val="16"/>
        </w:rPr>
        <w:br/>
        <w:t xml:space="preserve">// wallet:   sign structured message { domain: {network, contract, app_domain}, envelope }</w:t>
      </w:r>
    </w:p>
    <w:sectPr>
      <w:headerReference w:type="default" r:id="rId7"/>
      <w:footerReference w:type="default" r:id="rId8"/>
      <w:pgSz w:w="12240" w:h="15840"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10040"/>
      </w:tabs>
    </w:pPr>
    <w:r>
      <w:rPr>
        <w:color w:val="999999"/>
        <w:sz w:val="15"/>
        <w:szCs w:val="15"/>
      </w:rPr>
      <w:t xml:space="preserve">Companion to White Paper v0.5  |  July 2026</w:t>
    </w:r>
    <w:r>
      <w:rPr>
        <w:sz w:val="15"/>
        <w:szCs w:val="15"/>
      </w:rPr>
      <w:t xml:space="preserve">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999999"/>
        <w:spacing w:val="20"/>
        <w:sz w:val="15"/>
        <w:szCs w:val="15"/>
      </w:rPr>
      <w:t xml:space="preserve">XTRATA  |  PROOF OF SESSION  |  TECHNICAL SPECIFICATION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Xtrata Proof of Session — Technical Specification v0.5</dc:title>
  <dc:creator>Xtrata</dc:creator>
  <cp:lastModifiedBy>Un-named</cp:lastModifiedBy>
  <cp:revision>1</cp:revision>
  <dcterms:created xsi:type="dcterms:W3CDTF">2026-07-23T12:20:03.547Z</dcterms:created>
  <dcterms:modified xsi:type="dcterms:W3CDTF">2026-07-23T12:20:03.549Z</dcterms:modified>
</cp:coreProperties>
</file>

<file path=docProps/custom.xml><?xml version="1.0" encoding="utf-8"?>
<Properties xmlns="http://schemas.openxmlformats.org/officeDocument/2006/custom-properties" xmlns:vt="http://schemas.openxmlformats.org/officeDocument/2006/docPropsVTypes"/>
</file>