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Техническое задание: Модуль «CRM Лиды B2B»</w:t>
      </w:r>
    </w:p>
    <w:p>
      <w:pPr>
        <w:spacing w:after="120"/>
        <w:jc w:val="left"/>
      </w:pPr>
      <w:r>
        <w:rPr>
          <w:b/>
          <w:bCs/>
        </w:rPr>
        <w:t xml:space="preserve">Система:</w:t>
      </w:r>
      <w:r>
        <w:t xml:space="preserve"> SapaCRM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Область применения:</w:t>
      </w:r>
      <w:r>
        <w:t xml:space="preserve"> B2B продажи (сегменты SME, SA, LA)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Общая информация и цели</w:t>
      </w:r>
    </w:p>
    <w:p>
      <w:pPr>
        <w:spacing w:after="120"/>
        <w:jc w:val="left"/>
      </w:pPr>
      <w:r>
        <w:t xml:space="preserve">Модуль предназначен для автоматизации полного цикла B2B-продаж: от первичной квалификации юридического лица до подписания контракта и оплаты. Включает интеграцию с биллингом (Nexign), системой скоринга (Avalon), контроль логистики и гибкую ролевую модель для управления сделками крупного бизнеса.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Жизненный цикл Лида</w:t>
      </w:r>
    </w:p>
    <w:p>
      <w:pPr>
        <w:spacing w:after="120"/>
        <w:jc w:val="left"/>
      </w:pPr>
      <w:r>
        <w:t xml:space="preserve">Переход между этапами строго контролируется системой (Hard Stops). Нарушение логики блокируется на уровне API.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85"/>
        <w:gridCol w:w="1689"/>
        <w:gridCol w:w="3941"/>
        <w:gridCol w:w="27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**Этап**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**Название**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**Ключевые действия в интерфейсе**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**Триггер перехода (Hard Stop)**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Stage 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NEW (Знакомство)</w:t>
            </w:r>
          </w:p>
        </w:tc>
        <w:tc>
          <w:p>
            <w:pPr>
              <w:jc w:val="left"/>
            </w:pPr>
            <w:r>
              <w:t xml:space="preserve">Ввод БИН, автозаполнение реквизитов, загрузка данных из Nexign (баланс, долги). Привязка ЛПР и верификация (OTP).</w:t>
            </w:r>
          </w:p>
        </w:tc>
        <w:tc>
          <w:p>
            <w:pPr>
              <w:jc w:val="left"/>
            </w:pPr>
            <w:r>
              <w:t xml:space="preserve">Валидный БИН, успешная верификация OTP-кодом.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Stage 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HOT (Оффер)</w:t>
            </w:r>
          </w:p>
        </w:tc>
        <w:tc>
          <w:p>
            <w:pPr>
              <w:jc w:val="left"/>
            </w:pPr>
            <w:r>
              <w:t xml:space="preserve">Выбор оборудования/услуг. Выбор типа оплаты. Указание логистики (доставка обязательна для SA). Бронь.</w:t>
            </w:r>
          </w:p>
        </w:tc>
        <w:tc>
          <w:p>
            <w:pPr>
              <w:jc w:val="left"/>
            </w:pPr>
            <w:r>
              <w:t xml:space="preserve">Создан тикет в Support (для бронирования оборудования).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Stage 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THINKING (Возражения)</w:t>
            </w:r>
          </w:p>
        </w:tc>
        <w:tc>
          <w:p>
            <w:pPr>
              <w:jc w:val="left"/>
            </w:pPr>
            <w:r>
              <w:t xml:space="preserve">Анализ конкурентов (выбор оператора), работа с сомнениями. Авторасчет суммы.</w:t>
            </w:r>
          </w:p>
        </w:tc>
        <w:tc>
          <w:p>
            <w:pPr>
              <w:jc w:val="left"/>
            </w:pPr>
            <w:r>
              <w:t xml:space="preserve">Заполнены поля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competitor_id</w:t>
            </w:r>
            <w:r>
              <w:t xml:space="preserve">и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objection_id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Stage 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PAYMENT (Оплата)</w:t>
            </w:r>
          </w:p>
        </w:tc>
        <w:tc>
          <w:p>
            <w:pPr>
              <w:jc w:val="left"/>
            </w:pPr>
            <w:r>
              <w:t xml:space="preserve">Внутренний и внешний (Avalon) скоринг.</w:t>
            </w:r>
          </w:p>
        </w:tc>
        <w:tc>
          <w:p>
            <w:pPr>
              <w:jc w:val="left"/>
            </w:pPr>
            <w:r>
              <w:t xml:space="preserve">Статус скоринга =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APPROVED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Stage 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WON / LOST</w:t>
            </w:r>
          </w:p>
        </w:tc>
        <w:tc>
          <w:p>
            <w:pPr>
              <w:jc w:val="left"/>
            </w:pPr>
            <w:r>
              <w:t xml:space="preserve">Отправка ссылок на оплату/договор. Подтверждение оплаты. Перевод в отказ с указанием причины.</w:t>
            </w:r>
          </w:p>
        </w:tc>
        <w:tc>
          <w:p>
            <w:pPr>
              <w:jc w:val="left"/>
            </w:pPr>
            <w:r>
              <w:t xml:space="preserve">Оплата (ESB) + Ручная проверка скана договора.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Ролевая модель и управление доступом</w:t>
      </w:r>
    </w:p>
    <w:p>
      <w:pPr>
        <w:spacing w:after="120"/>
        <w:jc w:val="left"/>
      </w:pPr>
      <w:r>
        <w:t xml:space="preserve">Система разделяет ответственность между департаментами (Acquisition / Retention) и регулирует права на основе сегмента бизнеса (</w:t>
      </w:r>
      <w:r>
        <w:rPr>
          <w:rFonts w:ascii="Courier New" w:cs="Courier New" w:eastAsia="Courier New" w:hAnsi="Courier New"/>
          <w:shd w:fill="F1F5F9" w:color="auto" w:val="clear"/>
        </w:rPr>
        <w:t xml:space="preserve">clients_b2b.segment_id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Сегмент SME (Малый бизнес):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Менеджер имеет право самостоятельно изменять ЛПР и переводить лид в статус «Отказ».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Сегменты SA / LA (Средний и Крупный бизнес):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Смена основного ЛПР, изменение типа оплаты или параметров сделки доступно  </w:t>
      </w:r>
      <w:r>
        <w:rPr>
          <w:b/>
          <w:bCs/>
        </w:rPr>
        <w:t xml:space="preserve">только через систему заявок (Change Request)</w:t>
      </w:r>
      <w:r>
        <w:t xml:space="preserve"> .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Перевод лида в статус «Отказ» недоступен Менеджеру и требует участия роли </w:t>
      </w:r>
      <w:r>
        <w:rPr>
          <w:b/>
          <w:bCs/>
        </w:rPr>
        <w:t xml:space="preserve">Supervisor</w:t>
      </w:r>
      <w:r>
        <w:t xml:space="preserve"> или  </w:t>
      </w:r>
      <w:r>
        <w:rPr>
          <w:b/>
          <w:bCs/>
        </w:rPr>
        <w:t xml:space="preserve">Head</w:t>
      </w:r>
      <w:r>
        <w:t xml:space="preserve"> .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Контроль SLA (SLA Tracker):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Если лид находится в статусе «Новый» (в очереди) более 15 минут, система автоматически устанавливает метку «Просрочен» и отправляет уведомление руководителю.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Модуль управления изменениями (Change Requests)</w:t>
      </w:r>
    </w:p>
    <w:p>
      <w:pPr>
        <w:spacing w:after="120"/>
        <w:jc w:val="left"/>
      </w:pPr>
      <w:r>
        <w:t xml:space="preserve">Для защиты данных от несанкционированного изменения внедрен процесс согласования: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Инициация:</w:t>
      </w:r>
      <w:r>
        <w:t xml:space="preserve"> Менеджер инициирует изменение (например, смену ЛПР).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Ожидание (Pending):</w:t>
      </w:r>
      <w:r>
        <w:t xml:space="preserve"> В БД создается заявка. В интерфейсе Менеджер видит новые данные с желтой плашкой «На согласовании». В основной таблице контактов данные  </w:t>
      </w:r>
      <w:r>
        <w:rPr>
          <w:b/>
          <w:bCs/>
        </w:rPr>
        <w:t xml:space="preserve">не меняются</w:t>
      </w:r>
      <w:r>
        <w:t xml:space="preserve"> .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Резолюция:</w:t>
      </w:r>
      <w:r>
        <w:t xml:space="preserve"> Supervisor одобряет (данные перезаписываются) или отклоняет заявку (данные откатываются к исходным).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Маппинг полей сущности Лид B2B с базой данных</w:t>
      </w:r>
    </w:p>
    <w:p>
      <w:pPr>
        <w:pStyle w:val="Heading3"/>
        <w:spacing w:after="200"/>
        <w:jc w:val="left"/>
      </w:pPr>
      <w:r>
        <w:t xml:space="preserve">Таблица 1: Профиль организации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75"/>
        <w:gridCol w:w="1229"/>
        <w:gridCol w:w="1418"/>
        <w:gridCol w:w="2647"/>
        <w:gridCol w:w="18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**Поле**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**Тип**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**Обяз.**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**Логика / Валидация**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**Mapping (БД)**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БИН</w:t>
            </w:r>
          </w:p>
        </w:tc>
        <w:tc>
          <w:p>
            <w:pPr>
              <w:jc w:val="left"/>
            </w:pPr>
            <w:r>
              <w:t xml:space="preserve">Mask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12 цифр,</w:t>
            </w:r>
            <w:r>
              <w:rPr>
                <w:b/>
                <w:bCs/>
              </w:rPr>
              <w:t xml:space="preserve">Immutable</w:t>
            </w:r>
            <w:r>
              <w:t xml:space="preserve">(неизменное)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clients_b2b.bin</w:t>
            </w:r>
          </w:p>
        </w:tc>
      </w:tr>
      <w:tr>
        <w:tc>
          <w:p>
            <w:pPr>
              <w:jc w:val="left"/>
            </w:pPr>
            <w:r>
              <w:t xml:space="preserve">Наименование</w:t>
            </w:r>
          </w:p>
        </w:tc>
        <w:tc>
          <w:p>
            <w:pPr>
              <w:jc w:val="left"/>
            </w:pPr>
            <w:r>
              <w:t xml:space="preserve">Input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Автозаполнение из ГБД ЮЛ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clients_b2b.name</w:t>
            </w:r>
          </w:p>
        </w:tc>
      </w:tr>
      <w:tr>
        <w:tc>
          <w:p>
            <w:pPr>
              <w:jc w:val="left"/>
            </w:pPr>
            <w:r>
              <w:t xml:space="preserve">Сегмент</w:t>
            </w:r>
          </w:p>
        </w:tc>
        <w:tc>
          <w:p>
            <w:pPr>
              <w:jc w:val="left"/>
            </w:pPr>
            <w:r>
              <w:t xml:space="preserve">Select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SME / SA / LA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clients_b2b.segment_id</w:t>
            </w:r>
          </w:p>
        </w:tc>
      </w:tr>
      <w:tr>
        <w:tc>
          <w:p>
            <w:pPr>
              <w:jc w:val="left"/>
            </w:pPr>
            <w:r>
              <w:t xml:space="preserve">Юридический адрес</w:t>
            </w:r>
          </w:p>
        </w:tc>
        <w:tc>
          <w:p>
            <w:pPr>
              <w:jc w:val="left"/>
            </w:pPr>
            <w:r>
              <w:t xml:space="preserve">Input</w:t>
            </w:r>
          </w:p>
        </w:tc>
        <w:tc>
          <w:p>
            <w:pPr>
              <w:jc w:val="left"/>
            </w:pPr>
            <w:r>
              <w:t xml:space="preserve">Нет</w:t>
            </w:r>
          </w:p>
        </w:tc>
        <w:tc>
          <w:p>
            <w:pPr>
              <w:jc w:val="left"/>
            </w:pPr>
            <w:r>
              <w:t xml:space="preserve">Текст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clients_b2b.address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Таблица 2: Контактные лица и ЛПР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11"/>
        <w:gridCol w:w="1193"/>
        <w:gridCol w:w="1376"/>
        <w:gridCol w:w="2478"/>
        <w:gridCol w:w="22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**Поле**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**Тип**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**Обяз.**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**Логика / Валидация**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**Mapping (БД)**</w:t>
            </w:r>
          </w:p>
        </w:tc>
      </w:tr>
      <w:tr>
        <w:tc>
          <w:p>
            <w:pPr>
              <w:jc w:val="left"/>
            </w:pPr>
            <w:r>
              <w:t xml:space="preserve">ФИО контакта</w:t>
            </w:r>
          </w:p>
        </w:tc>
        <w:tc>
          <w:p>
            <w:pPr>
              <w:jc w:val="left"/>
            </w:pPr>
            <w:r>
              <w:t xml:space="preserve">Input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Текст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contacts.full_name</w:t>
            </w:r>
          </w:p>
        </w:tc>
      </w:tr>
      <w:tr>
        <w:tc>
          <w:p>
            <w:pPr>
              <w:jc w:val="left"/>
            </w:pPr>
            <w:r>
              <w:t xml:space="preserve">Номер телефона</w:t>
            </w:r>
          </w:p>
        </w:tc>
        <w:tc>
          <w:p>
            <w:pPr>
              <w:jc w:val="left"/>
            </w:pPr>
            <w:r>
              <w:t xml:space="preserve">Mask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+7 (7XX) XXX-XX-XX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contacts.phone</w:t>
            </w:r>
          </w:p>
        </w:tc>
      </w:tr>
      <w:tr>
        <w:tc>
          <w:p>
            <w:pPr>
              <w:jc w:val="left"/>
            </w:pPr>
            <w:r>
              <w:t xml:space="preserve">Роль контакта</w:t>
            </w:r>
          </w:p>
        </w:tc>
        <w:tc>
          <w:p>
            <w:pPr>
              <w:jc w:val="left"/>
            </w:pPr>
            <w:r>
              <w:t xml:space="preserve">Select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Справочник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ref_contact_roles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lead_contacts_link.role_id</w:t>
            </w:r>
          </w:p>
        </w:tc>
      </w:tr>
      <w:tr>
        <w:tc>
          <w:p>
            <w:pPr>
              <w:jc w:val="left"/>
            </w:pPr>
            <w:r>
              <w:t xml:space="preserve">Основной ЛПР</w:t>
            </w:r>
          </w:p>
        </w:tc>
        <w:tc>
          <w:p>
            <w:pPr>
              <w:jc w:val="left"/>
            </w:pPr>
            <w:r>
              <w:t xml:space="preserve">Checkbox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При SA/LA — запуск Change Request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lead_contacts_link.is_primary</w:t>
            </w:r>
          </w:p>
        </w:tc>
      </w:tr>
      <w:tr>
        <w:tc>
          <w:p>
            <w:pPr>
              <w:jc w:val="left"/>
            </w:pPr>
            <w:r>
              <w:t xml:space="preserve">Статус одобрения</w:t>
            </w:r>
          </w:p>
        </w:tc>
        <w:tc>
          <w:p>
            <w:pPr>
              <w:jc w:val="left"/>
            </w:pPr>
            <w:r>
              <w:t xml:space="preserve">Label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Enum: ACTIVE / PENDING / REJECTED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lead_contacts_link.approval_status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Таблица 3: Сведения из Nexign (Readonly)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83"/>
        <w:gridCol w:w="3854"/>
        <w:gridCol w:w="242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**Поле**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**Описание**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**Mapping (БД)**</w:t>
            </w:r>
          </w:p>
        </w:tc>
      </w:tr>
      <w:tr>
        <w:tc>
          <w:p>
            <w:pPr>
              <w:jc w:val="left"/>
            </w:pPr>
            <w:r>
              <w:t xml:space="preserve">Текущий баланс</w:t>
            </w:r>
          </w:p>
        </w:tc>
        <w:tc>
          <w:p>
            <w:pPr>
              <w:jc w:val="left"/>
            </w:pPr>
            <w:r>
              <w:t xml:space="preserve">Остаток средств компании (₸)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nexign_data.balance</w:t>
            </w:r>
          </w:p>
        </w:tc>
      </w:tr>
      <w:tr>
        <w:tc>
          <w:p>
            <w:pPr>
              <w:jc w:val="left"/>
            </w:pPr>
            <w:r>
              <w:t xml:space="preserve">Дебиторская задолженность</w:t>
            </w:r>
          </w:p>
        </w:tc>
        <w:tc>
          <w:p>
            <w:pPr>
              <w:jc w:val="left"/>
            </w:pPr>
            <w:r>
              <w:t xml:space="preserve">Наличие долгов по действующим контрактам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nexign_data.debt</w:t>
            </w:r>
          </w:p>
        </w:tc>
      </w:tr>
      <w:tr>
        <w:tc>
          <w:p>
            <w:pPr>
              <w:jc w:val="left"/>
            </w:pPr>
            <w:r>
              <w:t xml:space="preserve">Лицевой счет</w:t>
            </w:r>
          </w:p>
        </w:tc>
        <w:tc>
          <w:p>
            <w:pPr>
              <w:jc w:val="left"/>
            </w:pPr>
            <w:r>
              <w:t xml:space="preserve">Основной ЛС в биллинге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nexign_data.account_number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Таблица 4: Спецификация и Оффер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39"/>
        <w:gridCol w:w="1205"/>
        <w:gridCol w:w="1390"/>
        <w:gridCol w:w="2688"/>
        <w:gridCol w:w="203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**Поле**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**Тип**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**Обяз.**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**Логика / Валидация**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**Mapping (БД)**</w:t>
            </w:r>
          </w:p>
        </w:tc>
      </w:tr>
      <w:tr>
        <w:tc>
          <w:p>
            <w:pPr>
              <w:jc w:val="left"/>
            </w:pPr>
            <w:r>
              <w:t xml:space="preserve">Продукт / Услуга</w:t>
            </w:r>
          </w:p>
        </w:tc>
        <w:tc>
          <w:p>
            <w:pPr>
              <w:jc w:val="left"/>
            </w:pPr>
            <w:r>
              <w:t xml:space="preserve">Select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Справочник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ref_products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leads_b2b_items.product_id</w:t>
            </w:r>
          </w:p>
        </w:tc>
      </w:tr>
      <w:tr>
        <w:tc>
          <w:p>
            <w:pPr>
              <w:jc w:val="left"/>
            </w:pPr>
            <w:r>
              <w:t xml:space="preserve">Количество</w:t>
            </w:r>
          </w:p>
        </w:tc>
        <w:tc>
          <w:p>
            <w:pPr>
              <w:jc w:val="left"/>
            </w:pPr>
            <w:r>
              <w:t xml:space="preserve">Input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Число &gt; 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leads_b2b_items.quantity</w:t>
            </w:r>
          </w:p>
        </w:tc>
      </w:tr>
      <w:tr>
        <w:tc>
          <w:p>
            <w:pPr>
              <w:jc w:val="left"/>
            </w:pPr>
            <w:r>
              <w:t xml:space="preserve">Цена за ед.</w:t>
            </w:r>
          </w:p>
        </w:tc>
        <w:tc>
          <w:p>
            <w:pPr>
              <w:jc w:val="left"/>
            </w:pPr>
            <w:r>
              <w:t xml:space="preserve">Money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Индивидуальная цена сделки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leads_b2b_items.unit_price</w:t>
            </w:r>
          </w:p>
        </w:tc>
      </w:tr>
      <w:tr>
        <w:tc>
          <w:p>
            <w:pPr>
              <w:jc w:val="left"/>
            </w:pPr>
            <w:r>
              <w:t xml:space="preserve">Тип оплаты</w:t>
            </w:r>
          </w:p>
        </w:tc>
        <w:tc>
          <w:p>
            <w:pPr>
              <w:jc w:val="left"/>
            </w:pPr>
            <w:r>
              <w:t xml:space="preserve">Select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Контракт / Полная стоимость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leads_b2b.payment_type_id</w:t>
            </w:r>
          </w:p>
        </w:tc>
      </w:tr>
      <w:tr>
        <w:tc>
          <w:p>
            <w:pPr>
              <w:jc w:val="left"/>
            </w:pPr>
            <w:r>
              <w:t xml:space="preserve">Адрес доставки</w:t>
            </w:r>
          </w:p>
        </w:tc>
        <w:tc>
          <w:p>
            <w:pPr>
              <w:jc w:val="left"/>
            </w:pPr>
            <w:r>
              <w:t xml:space="preserve">Input</w:t>
            </w:r>
          </w:p>
        </w:tc>
        <w:tc>
          <w:p>
            <w:pPr>
              <w:jc w:val="left"/>
            </w:pPr>
            <w:r>
              <w:t xml:space="preserve">*</w:t>
            </w:r>
          </w:p>
        </w:tc>
        <w:tc>
          <w:p>
            <w:pPr>
              <w:jc w:val="left"/>
            </w:pPr>
            <w:r>
              <w:t xml:space="preserve">Обязательно, если сегмент SA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leads_b2b.delivery_address</w:t>
            </w:r>
          </w:p>
        </w:tc>
      </w:tr>
      <w:tr>
        <w:tc>
          <w:p>
            <w:pPr>
              <w:jc w:val="left"/>
            </w:pPr>
            <w:r>
              <w:t xml:space="preserve">Номер брони</w:t>
            </w:r>
          </w:p>
        </w:tc>
        <w:tc>
          <w:p>
            <w:pPr>
              <w:jc w:val="left"/>
            </w:pPr>
            <w:r>
              <w:t xml:space="preserve">Label</w:t>
            </w:r>
          </w:p>
        </w:tc>
        <w:tc>
          <w:p>
            <w:pPr>
              <w:jc w:val="left"/>
            </w:pPr>
            <w:r>
              <w:t xml:space="preserve">Нет</w:t>
            </w:r>
          </w:p>
        </w:tc>
        <w:tc>
          <w:p>
            <w:pPr>
              <w:jc w:val="left"/>
            </w:pPr>
            <w:r>
              <w:t xml:space="preserve">Генерируется Support-системой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leads_b2b.support_ticket_id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Таблица 5: Аналитика и Возражения (THINKING)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46"/>
        <w:gridCol w:w="1217"/>
        <w:gridCol w:w="1404"/>
        <w:gridCol w:w="2527"/>
        <w:gridCol w:w="196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**Поле**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**Тип**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**Обяз.**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**Логика / Валидация**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**Mapping (БД)**</w:t>
            </w:r>
          </w:p>
        </w:tc>
      </w:tr>
      <w:tr>
        <w:tc>
          <w:p>
            <w:pPr>
              <w:jc w:val="left"/>
            </w:pPr>
            <w:r>
              <w:t xml:space="preserve">Текущий оператор</w:t>
            </w:r>
          </w:p>
        </w:tc>
        <w:tc>
          <w:p>
            <w:pPr>
              <w:jc w:val="left"/>
            </w:pPr>
            <w:r>
              <w:t xml:space="preserve">Select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Справочник конкурентов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leads_b2b.competitor_id</w:t>
            </w:r>
          </w:p>
        </w:tc>
      </w:tr>
      <w:tr>
        <w:tc>
          <w:p>
            <w:pPr>
              <w:jc w:val="left"/>
            </w:pPr>
            <w:r>
              <w:t xml:space="preserve">Причина сомнения</w:t>
            </w:r>
          </w:p>
        </w:tc>
        <w:tc>
          <w:p>
            <w:pPr>
              <w:jc w:val="left"/>
            </w:pPr>
            <w:r>
              <w:t xml:space="preserve">Select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Справочник возражений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leads_b2b.objection_id</w:t>
            </w:r>
          </w:p>
        </w:tc>
      </w:tr>
      <w:tr>
        <w:tc>
          <w:p>
            <w:pPr>
              <w:jc w:val="left"/>
            </w:pPr>
            <w:r>
              <w:t xml:space="preserve">Дата след. контакта</w:t>
            </w:r>
          </w:p>
        </w:tc>
        <w:tc>
          <w:p>
            <w:pPr>
              <w:jc w:val="left"/>
            </w:pPr>
            <w:r>
              <w:t xml:space="preserve">Date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Не может быть в прошлом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leads_b2b.next_call_date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Таблица 6: Верификация и Финал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46"/>
        <w:gridCol w:w="1205"/>
        <w:gridCol w:w="1390"/>
        <w:gridCol w:w="2688"/>
        <w:gridCol w:w="21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**Поле**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**Тип**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**Обяз.**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**Логика / Валидация**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**Mapping (БД)**</w:t>
            </w:r>
          </w:p>
        </w:tc>
      </w:tr>
      <w:tr>
        <w:tc>
          <w:p>
            <w:pPr>
              <w:jc w:val="left"/>
            </w:pPr>
            <w:r>
              <w:t xml:space="preserve">SMS OTP</w:t>
            </w:r>
          </w:p>
        </w:tc>
        <w:tc>
          <w:p>
            <w:pPr>
              <w:jc w:val="left"/>
            </w:pPr>
            <w:r>
              <w:t xml:space="preserve">Mask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6 цифр, проверка ЛПР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leads_b2b.is_otp_verified</w:t>
            </w:r>
          </w:p>
        </w:tc>
      </w:tr>
      <w:tr>
        <w:tc>
          <w:p>
            <w:pPr>
              <w:jc w:val="left"/>
            </w:pPr>
            <w:r>
              <w:t xml:space="preserve">Статус Avalon</w:t>
            </w:r>
          </w:p>
        </w:tc>
        <w:tc>
          <w:p>
            <w:pPr>
              <w:jc w:val="left"/>
            </w:pPr>
            <w:r>
              <w:t xml:space="preserve">Label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Approved/Rejected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leads_b2b.avalon_status</w:t>
            </w:r>
          </w:p>
        </w:tc>
      </w:tr>
      <w:tr>
        <w:tc>
          <w:p>
            <w:pPr>
              <w:jc w:val="left"/>
            </w:pPr>
            <w:r>
              <w:t xml:space="preserve">Факт оплаты</w:t>
            </w:r>
          </w:p>
        </w:tc>
        <w:tc>
          <w:p>
            <w:pPr>
              <w:jc w:val="left"/>
            </w:pPr>
            <w:r>
              <w:t xml:space="preserve">Checkbox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Read-only (из ESB/Nexign)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leads_b2b.is_paid</w:t>
            </w:r>
          </w:p>
        </w:tc>
      </w:tr>
      <w:tr>
        <w:tc>
          <w:p>
            <w:pPr>
              <w:jc w:val="left"/>
            </w:pPr>
            <w:r>
              <w:t xml:space="preserve">Скан договора</w:t>
            </w:r>
          </w:p>
        </w:tc>
        <w:tc>
          <w:p>
            <w:pPr>
              <w:jc w:val="left"/>
            </w:pPr>
            <w:r>
              <w:t xml:space="preserve">Checkbox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Ручная проверка менеджером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leads_b2b.is_doc_verified</w:t>
            </w:r>
          </w:p>
        </w:tc>
      </w:tr>
      <w:tr>
        <w:tc>
          <w:p>
            <w:pPr>
              <w:jc w:val="left"/>
            </w:pPr>
            <w:r>
              <w:t xml:space="preserve">Причина отказа</w:t>
            </w:r>
          </w:p>
        </w:tc>
        <w:tc>
          <w:p>
            <w:pPr>
              <w:jc w:val="left"/>
            </w:pPr>
            <w:r>
              <w:t xml:space="preserve">Select</w:t>
            </w:r>
          </w:p>
        </w:tc>
        <w:tc>
          <w:p>
            <w:pPr>
              <w:jc w:val="left"/>
            </w:pPr>
            <w:r>
              <w:t xml:space="preserve">Нет</w:t>
            </w:r>
          </w:p>
        </w:tc>
        <w:tc>
          <w:p>
            <w:pPr>
              <w:jc w:val="left"/>
            </w:pPr>
            <w:r>
              <w:t xml:space="preserve">Для CLOSED_LOST (справочник)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leads_b2b.rejection_reason_id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Таблица 7: Метаданные сделки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53"/>
        <w:gridCol w:w="1217"/>
        <w:gridCol w:w="1404"/>
        <w:gridCol w:w="2621"/>
        <w:gridCol w:w="19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**Поле**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**Тип**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**Обяз.**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**Логика / Валидация**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**Mapping (БД)**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ID лида</w:t>
            </w:r>
          </w:p>
        </w:tc>
        <w:tc>
          <w:p>
            <w:pPr>
              <w:jc w:val="left"/>
            </w:pPr>
            <w:r>
              <w:t xml:space="preserve">UUID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Системный ключ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leads_b2b.id</w:t>
            </w:r>
          </w:p>
        </w:tc>
      </w:tr>
      <w:tr>
        <w:tc>
          <w:p>
            <w:pPr>
              <w:jc w:val="left"/>
            </w:pPr>
            <w:r>
              <w:t xml:space="preserve">Номер лида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Формат: 2424#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leads_b2b.lead_number</w:t>
            </w:r>
          </w:p>
        </w:tc>
      </w:tr>
      <w:tr>
        <w:tc>
          <w:p>
            <w:pPr>
              <w:jc w:val="left"/>
            </w:pPr>
            <w:r>
              <w:t xml:space="preserve">Дата создания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Автоматическая генерация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leads_b2b.created_at</w:t>
            </w:r>
          </w:p>
        </w:tc>
      </w:tr>
      <w:tr>
        <w:tc>
          <w:p>
            <w:pPr>
              <w:jc w:val="left"/>
            </w:pPr>
            <w:r>
              <w:t xml:space="preserve">Направление</w:t>
            </w:r>
          </w:p>
        </w:tc>
        <w:tc>
          <w:p>
            <w:pPr>
              <w:jc w:val="left"/>
            </w:pPr>
            <w:r>
              <w:t xml:space="preserve">Select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Продажа / Услуга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leads_b2b.direction_id</w:t>
            </w:r>
          </w:p>
        </w:tc>
      </w:tr>
      <w:tr>
        <w:tc>
          <w:p>
            <w:pPr>
              <w:jc w:val="left"/>
            </w:pPr>
            <w:r>
              <w:t xml:space="preserve">Ответственный</w:t>
            </w:r>
          </w:p>
        </w:tc>
        <w:tc>
          <w:p>
            <w:pPr>
              <w:jc w:val="left"/>
            </w:pPr>
            <w:r>
              <w:t xml:space="preserve">Search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Сотрудник из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employees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leads_b2b.responsible_id</w:t>
            </w:r>
          </w:p>
        </w:tc>
      </w:tr>
      <w:tr>
        <w:tc>
          <w:p>
            <w:pPr>
              <w:jc w:val="left"/>
            </w:pPr>
            <w:r>
              <w:t xml:space="preserve">Отдел / Сектор</w:t>
            </w:r>
          </w:p>
        </w:tc>
        <w:tc>
          <w:p>
            <w:pPr>
              <w:jc w:val="left"/>
            </w:pPr>
            <w:r>
              <w:t xml:space="preserve">Select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Acquisition / Retention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leads_b2b.sector_id</w:t>
            </w:r>
          </w:p>
        </w:tc>
      </w:tr>
      <w:tr>
        <w:tc>
          <w:p>
            <w:pPr>
              <w:jc w:val="left"/>
            </w:pPr>
            <w:r>
              <w:t xml:space="preserve">Метка "Просрочен"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Да</w:t>
            </w:r>
          </w:p>
        </w:tc>
        <w:tc>
          <w:p>
            <w:pPr>
              <w:jc w:val="left"/>
            </w:pPr>
            <w:r>
              <w:t xml:space="preserve">Авторасчет по SLA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leads_b2b.is_overdue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Валидация данных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БИН: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^\d{12}$</w:t>
      </w:r>
      <w:r>
        <w:t xml:space="preserve">. Неизменяемое поле.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Телефон (РК):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^\+77\d{9}$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OTP-код: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^\d{6}$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Уникальность:</w:t>
      </w:r>
      <w:r>
        <w:t xml:space="preserve"> Запрет создания нового лида, если в БД существует незакрытый лид с аналогичным БИН.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Реестр API-методов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76"/>
        <w:gridCol w:w="1478"/>
        <w:gridCol w:w="2365"/>
        <w:gridCol w:w="39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**Группа**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**Метод**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**Путь**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**Описание**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Leads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/api/v1/b2b/leads</w:t>
            </w:r>
          </w:p>
        </w:tc>
        <w:tc>
          <w:p>
            <w:pPr>
              <w:jc w:val="left"/>
            </w:pPr>
            <w:r>
              <w:t xml:space="preserve">Список лидов (фильтры: статус, ответственный, сегмент)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/api/v1/b2b/leads</w:t>
            </w:r>
          </w:p>
        </w:tc>
        <w:tc>
          <w:p>
            <w:pPr>
              <w:jc w:val="left"/>
            </w:pPr>
            <w:r>
              <w:t xml:space="preserve">Создание лида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PATCH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/api/v1/b2b/leads/{id}/status</w:t>
            </w:r>
          </w:p>
        </w:tc>
        <w:tc>
          <w:p>
            <w:pPr>
              <w:jc w:val="left"/>
            </w:pPr>
            <w:r>
              <w:t xml:space="preserve">Смена статуса / Закрытие лида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Clients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/api/v1/b2b/clients/search</w:t>
            </w:r>
          </w:p>
        </w:tc>
        <w:tc>
          <w:p>
            <w:pPr>
              <w:jc w:val="left"/>
            </w:pPr>
            <w:r>
              <w:t xml:space="preserve">Поиск компании по БИН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/api/v1/b2b/clients/{id}/billing</w:t>
            </w:r>
          </w:p>
        </w:tc>
        <w:tc>
          <w:p>
            <w:pPr>
              <w:jc w:val="left"/>
            </w:pPr>
            <w:r>
              <w:t xml:space="preserve">Запрос баланса и долгов (из Nexign)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Contacts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/api/v1/b2b/leads/{id}/contacts</w:t>
            </w:r>
          </w:p>
        </w:tc>
        <w:tc>
          <w:p>
            <w:pPr>
              <w:jc w:val="left"/>
            </w:pPr>
            <w:r>
              <w:t xml:space="preserve">Привязка ЛПР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Products</w:t>
            </w:r>
          </w:p>
        </w:tc>
        <w:tc>
          <w:p>
            <w:pPr>
              <w:jc w:val="left"/>
            </w:pPr>
            <w:r>
              <w:t xml:space="preserve">PUT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/api/v1/b2b/leads/{id}/items</w:t>
            </w:r>
          </w:p>
        </w:tc>
        <w:tc>
          <w:p>
            <w:pPr>
              <w:jc w:val="left"/>
            </w:pPr>
            <w:r>
              <w:t xml:space="preserve">Обновление состава корзины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Requests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/api/v1/b2b/requests</w:t>
            </w:r>
          </w:p>
        </w:tc>
        <w:tc>
          <w:p>
            <w:pPr>
              <w:jc w:val="left"/>
            </w:pPr>
            <w:r>
              <w:t xml:space="preserve">Создание Change Request (Смена ЛПР и др.)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PATCH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/api/v1/b2b/requests/{id}/resolve</w:t>
            </w:r>
          </w:p>
        </w:tc>
        <w:tc>
          <w:p>
            <w:pPr>
              <w:jc w:val="left"/>
            </w:pPr>
            <w:r>
              <w:t xml:space="preserve">Обработка заявки руководителем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Comms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/api/v1/b2b/leads/{id}/send-link</w:t>
            </w:r>
          </w:p>
        </w:tc>
        <w:tc>
          <w:p>
            <w:pPr>
              <w:jc w:val="left"/>
            </w:pPr>
            <w:r>
              <w:t xml:space="preserve">Отправка ссылок на оплату / договор по SMS/Email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Архитектура и Структура БД (SQL)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Таблица связей Контактов (ЛПР) с поддержкой согласования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client.lead_contacts_link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lead_id UUID NOT NULL,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contact_id UUID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role_id INT NOT NULL,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is_primary BOOLEAN DEFAULT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approval_status VARCHAR(20) DEFAULT 'ACTIVE',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PRIMARY KEY (lead_id, contact_id)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Таблица заявок на изменение (Change Requests)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client.change_requests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UUID PRIMARY KEY DEFAULT gen_random_uuid(),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lead_id UUID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requester_id 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approver_id INT,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entity_type VARCHAR(50),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old_value_id UUID,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new_value_id UUID,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status VARCHAR(20) DEFAULT 'PENDING',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TIMESTAMP DEFAULT CURRENT_TIMESTAMP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Диаграммы взаимодействия (Sequence Diagrams)</w:t>
      </w:r>
    </w:p>
    <w:p>
      <w:pPr>
        <w:spacing w:after="120"/>
        <w:jc w:val="left"/>
      </w:pPr>
      <w:r>
        <w:rPr>
          <w:i/>
          <w:iCs/>
        </w:rPr>
        <w:t xml:space="preserve">Ниже представлены архитектурные схемы PlantUML для вставки в Wiki (Confluence/GitLab).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9.1. Жизненный цикл Лида (Воронка)</w:t>
      </w:r>
    </w:p>
    <w:p>
      <w:pPr>
        <w:spacing w:after="120"/>
        <w:jc w:val="left"/>
      </w:pPr>
      <w:r>
        <w:rPr>
          <w:b/>
          <w:bCs/>
        </w:rPr>
        <w:t xml:space="preserve">Фрагмент кода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@startuml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autonumber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actor "Менеджер" as Manager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participant "SapaCRM" as UI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participant "API Gateway" as 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participant "Nexign" as Nexign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participant "Support" as Support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participant "Avalon" as Avalon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Manager -&gt; UI: Ввод БИН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 -&gt; API: GET /billing/info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 -&gt; Nexign: Запрос долгов и баланса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Nexign --&gt; API: Данные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 --&gt; UI: Отображение профиля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Manager -&gt; UI: Выбор товара, адрес доставки (SA)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 -&gt; API: Создание брони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 -&gt; Support: Тикет в логистику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Manager -&gt; UI: Отправка на скоринг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 -&gt; Avalon: Внутренний/Внешний скоринг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 Скоринг успешен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Avalon --&gt; API: 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API --&gt; UI: Статус SCORING_APPROVED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 Скоринг отклонён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Avalon --&gt; API: Declined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API --&gt; UI: Статус SCORING_FAILED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Manager -&gt; UI: Отправка ссылок клиенту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 -&gt; API: POST /send-link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 -&gt; Nexign: Подтверждение оплаты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 Оплата прошла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Nexign --&gt; API: PAID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API --&gt; UI: Статус PAID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Manager -&gt; UI: Закрытие сделки (CLOSED_WON)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 Ошибка оплаты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Nexign --&gt; API: 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API --&gt; UI: Статус PAYMENT_FAILED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@enduml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9.2. Управление правами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@startuml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autonumber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actor "Manager" as Manager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actor "Head" as Boss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participant "SapaCRM" as System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Manager -&gt; System: Отказ по лиду (Сегмент LA)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 -&gt; System: Проверка прав (Acquisition/Retention)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 Права недостаточны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System --&gt; Manager: Ошибка: Требуется уровень Head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Boss -&gt; System: Утверждение отказа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System --&gt; Boss: Лид закрыт (CLOSED_LOST)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 Права достаточны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System --&gt; Manager: Лид закрыт (CLOSED_LOST)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@enduml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Открытые вопросы к Заказчику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Интеграция Nexign:</w:t>
      </w:r>
      <w:r>
        <w:t xml:space="preserve"> Подтвердить, допустимо ли кэшировать данные баланса на 1 час для снижения нагрузки на биллинг, или требуется строго Live-запрос при каждом открытии карточки?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Срок жизни брони:</w:t>
      </w:r>
      <w:r>
        <w:t xml:space="preserve"> Через какое время тикет на бронь оборудования аннулируется, если клиент не перешел к оплате?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Avalon:</w:t>
      </w:r>
      <w:r>
        <w:t xml:space="preserve"> Блокировать ли интерфейс менеджера (Read-only) на время ожидания ответа от скоринговой системы?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2026-04-07T11:47:03.363Z</dcterms:created>
  <dcterms:modified xsi:type="dcterms:W3CDTF">2026-04-07T11:47:03.363Z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