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BA" w:rsidRDefault="00AD7BBA" w:rsidP="00AD7BBA">
      <w:pPr>
        <w:jc w:val="center"/>
        <w:rPr>
          <w:rFonts w:ascii="Times New Roman" w:hAnsi="Times New Roman" w:cs="Times New Roman"/>
        </w:rPr>
      </w:pPr>
      <w:r w:rsidRPr="00B7221A">
        <w:rPr>
          <w:rFonts w:ascii="Times New Roman" w:hAnsi="Times New Roman" w:cs="Times New Roman"/>
        </w:rPr>
        <w:t>RAPORT Z ANOTACJI SEMANTYCZNEJ BAZY</w:t>
      </w:r>
      <w:r>
        <w:rPr>
          <w:rFonts w:ascii="Times New Roman" w:hAnsi="Times New Roman" w:cs="Times New Roman"/>
        </w:rPr>
        <w:t xml:space="preserve"> JEDNOSTEK LEKSYKALNYCH</w:t>
      </w:r>
    </w:p>
    <w:p w:rsidR="00AD7BBA" w:rsidRDefault="00AD7BBA" w:rsidP="00AD7BBA">
      <w:pPr>
        <w:jc w:val="center"/>
        <w:rPr>
          <w:rFonts w:ascii="Times New Roman" w:hAnsi="Times New Roman" w:cs="Times New Roman"/>
        </w:rPr>
      </w:pPr>
      <w:r w:rsidRPr="00B7221A">
        <w:rPr>
          <w:rFonts w:ascii="Times New Roman" w:hAnsi="Times New Roman" w:cs="Times New Roman"/>
        </w:rPr>
        <w:t xml:space="preserve"> W ZAKRESIE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KUBLIKÓW</w:t>
      </w:r>
    </w:p>
    <w:p w:rsidR="00AD7BBA" w:rsidRDefault="00AD7BBA" w:rsidP="00AD7B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Joanna </w:t>
      </w:r>
      <w:proofErr w:type="spellStart"/>
      <w:r>
        <w:rPr>
          <w:rFonts w:ascii="Times New Roman" w:hAnsi="Times New Roman" w:cs="Times New Roman"/>
        </w:rPr>
        <w:t>Przetacka</w:t>
      </w:r>
      <w:proofErr w:type="spellEnd"/>
    </w:p>
    <w:p w:rsidR="00AD7BBA" w:rsidRPr="00B7221A" w:rsidRDefault="00AD7BBA" w:rsidP="00AD7B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15.12.2017</w:t>
      </w:r>
    </w:p>
    <w:p w:rsidR="00AD7BBA" w:rsidRDefault="00AD7BBA" w:rsidP="00AD7B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stanowią specyficzną klasę nieodmiennych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fleksemów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która nie jest ani s</w:t>
      </w:r>
      <w:r w:rsidR="007B15F5">
        <w:rPr>
          <w:rFonts w:ascii="Times New Roman" w:hAnsi="Times New Roman" w:cs="Times New Roman"/>
          <w:sz w:val="24"/>
          <w:szCs w:val="24"/>
        </w:rPr>
        <w:t xml:space="preserve">pójna semantycznie, </w:t>
      </w:r>
      <w:r>
        <w:rPr>
          <w:rFonts w:ascii="Times New Roman" w:hAnsi="Times New Roman" w:cs="Times New Roman"/>
          <w:sz w:val="24"/>
          <w:szCs w:val="24"/>
        </w:rPr>
        <w:t xml:space="preserve">ani dystrybutywnie. </w:t>
      </w:r>
      <w:r w:rsidR="007B15F5">
        <w:rPr>
          <w:rFonts w:ascii="Times New Roman" w:hAnsi="Times New Roman" w:cs="Times New Roman"/>
          <w:sz w:val="24"/>
          <w:szCs w:val="24"/>
        </w:rPr>
        <w:t xml:space="preserve">Mogą, w odróżnieniu od przysłówków, modyfikować różne klasy. W większości przypadków ciężko jest im przypisać konkretną rolę tematyczną. Wyjątkami są niektóre </w:t>
      </w:r>
      <w:proofErr w:type="spellStart"/>
      <w:r w:rsidR="007B15F5">
        <w:rPr>
          <w:rFonts w:ascii="Times New Roman" w:hAnsi="Times New Roman" w:cs="Times New Roman"/>
          <w:sz w:val="24"/>
          <w:szCs w:val="24"/>
        </w:rPr>
        <w:t>kubliki</w:t>
      </w:r>
      <w:proofErr w:type="spellEnd"/>
      <w:r w:rsidR="007B15F5">
        <w:rPr>
          <w:rFonts w:ascii="Times New Roman" w:hAnsi="Times New Roman" w:cs="Times New Roman"/>
          <w:sz w:val="24"/>
          <w:szCs w:val="24"/>
        </w:rPr>
        <w:t xml:space="preserve"> takie jak:</w:t>
      </w:r>
    </w:p>
    <w:p w:rsidR="007B15F5" w:rsidRDefault="007B15F5" w:rsidP="007B15F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około  (role tematyczne: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7B15F5" w:rsidRDefault="007B15F5" w:rsidP="007B15F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tuż (rola tematyczna: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7B15F5" w:rsidRDefault="007B15F5" w:rsidP="007B15F5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niby (rola tematyczna: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comparition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7B15F5" w:rsidRPr="007B15F5" w:rsidRDefault="007B15F5" w:rsidP="007B1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które w znaczeniu nie odbiegają bardzo od przyimków. Dla pozostałych </w:t>
      </w:r>
      <w:proofErr w:type="spellStart"/>
      <w:r>
        <w:rPr>
          <w:rFonts w:ascii="Times New Roman" w:hAnsi="Times New Roman" w:cs="Times New Roman"/>
          <w:sz w:val="24"/>
          <w:szCs w:val="24"/>
        </w:rPr>
        <w:t>kublików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anotacja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ograniczona została do wymienienia i hasłowej charakterystyki zjawisk sem</w:t>
      </w:r>
      <w:r w:rsidR="002477F3">
        <w:rPr>
          <w:rFonts w:ascii="Times New Roman" w:hAnsi="Times New Roman" w:cs="Times New Roman"/>
          <w:sz w:val="24"/>
          <w:szCs w:val="24"/>
        </w:rPr>
        <w:t>antycznych, jakie reprezentują.</w:t>
      </w:r>
    </w:p>
    <w:p w:rsidR="00AD7BBA" w:rsidRDefault="002477F3" w:rsidP="002477F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Część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kublików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spoza zasobów SJP nie posiadała dopisanych glos</w:t>
      </w:r>
      <w:r w:rsidR="00AD7BBA" w:rsidRPr="00FA3964">
        <w:rPr>
          <w:rFonts w:ascii="Times New Roman" w:hAnsi="Times New Roman" w:cs="Times New Roman"/>
          <w:sz w:val="24"/>
          <w:szCs w:val="24"/>
        </w:rPr>
        <w:t>. Został</w:t>
      </w:r>
      <w:r>
        <w:rPr>
          <w:rFonts w:ascii="Times New Roman" w:hAnsi="Times New Roman" w:cs="Times New Roman"/>
          <w:sz w:val="24"/>
          <w:szCs w:val="24"/>
        </w:rPr>
        <w:t>y one uzupełnione</w:t>
      </w:r>
      <w:r w:rsidR="00AD7BBA" w:rsidRPr="00FA3964">
        <w:rPr>
          <w:rFonts w:ascii="Times New Roman" w:hAnsi="Times New Roman" w:cs="Times New Roman"/>
          <w:sz w:val="24"/>
          <w:szCs w:val="24"/>
        </w:rPr>
        <w:t xml:space="preserve"> na podstawie glos spójników o podobnym znaczeniu,</w:t>
      </w:r>
      <w:r w:rsidR="00AD7BBA">
        <w:rPr>
          <w:rFonts w:ascii="Times New Roman" w:hAnsi="Times New Roman" w:cs="Times New Roman"/>
          <w:sz w:val="24"/>
          <w:szCs w:val="24"/>
        </w:rPr>
        <w:t xml:space="preserve"> własnych</w:t>
      </w:r>
      <w:r w:rsidR="00AD7BBA" w:rsidRPr="00FA3964">
        <w:rPr>
          <w:rFonts w:ascii="Times New Roman" w:hAnsi="Times New Roman" w:cs="Times New Roman"/>
          <w:sz w:val="24"/>
          <w:szCs w:val="24"/>
        </w:rPr>
        <w:t xml:space="preserve"> intuicji ję</w:t>
      </w:r>
      <w:r>
        <w:rPr>
          <w:rFonts w:ascii="Times New Roman" w:hAnsi="Times New Roman" w:cs="Times New Roman"/>
          <w:sz w:val="24"/>
          <w:szCs w:val="24"/>
        </w:rPr>
        <w:t>zykowych oraz</w:t>
      </w:r>
      <w:r w:rsidR="00AD7BBA" w:rsidRPr="00FA3964">
        <w:rPr>
          <w:rFonts w:ascii="Times New Roman" w:hAnsi="Times New Roman" w:cs="Times New Roman"/>
          <w:sz w:val="24"/>
          <w:szCs w:val="24"/>
        </w:rPr>
        <w:t xml:space="preserve"> </w:t>
      </w:r>
      <w:r w:rsidR="00AD7BBA" w:rsidRPr="00FA3964">
        <w:rPr>
          <w:rFonts w:ascii="Times New Roman" w:hAnsi="Times New Roman" w:cs="Times New Roman"/>
          <w:i/>
          <w:sz w:val="24"/>
          <w:szCs w:val="24"/>
        </w:rPr>
        <w:t>„</w:t>
      </w:r>
      <w:r w:rsidR="00AD7BBA" w:rsidRPr="00FA3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Słownika języka polskiego pod red. W. Doroszewskiego”</w:t>
      </w:r>
      <w:r w:rsidR="00AD7BBA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Spójniki </w:t>
      </w:r>
      <w:r w:rsidR="00AD7BB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opatrzono</w:t>
      </w:r>
      <w:r w:rsidR="00AD7BBA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przykładami ilustrują</w:t>
      </w:r>
      <w:r w:rsidR="00AD7BB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cymi ich użycie </w:t>
      </w:r>
      <w:r w:rsidR="00AD7BBA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wraz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AD7BBA" w:rsidRPr="00FA396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podaniem źródła tekstu.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Bazą do analizy stanowił Narodowy Korpus Języka Polskiego.</w:t>
      </w:r>
    </w:p>
    <w:p w:rsidR="002477F3" w:rsidRDefault="002477F3" w:rsidP="00AD7BB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Zjawiska semantyczne zostały przypisane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kublikom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podstawie dwóch plików źródłowych: </w:t>
      </w:r>
    </w:p>
    <w:p w:rsidR="002477F3" w:rsidRPr="002477F3" w:rsidRDefault="002477F3" w:rsidP="002477F3">
      <w:pPr>
        <w:pStyle w:val="Akapitzlis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„Listy zjawisk semantycznych przeznaczonych do uwzględnienia w reprezentacji semantycznej </w:t>
      </w:r>
      <w:proofErr w:type="spellStart"/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parsera</w:t>
      </w:r>
      <w:proofErr w:type="spellEnd"/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ENIAM”</w:t>
      </w:r>
      <w:r w:rsidRPr="002477F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autorstwa Wojciecha 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worskiego i Kuby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Kozakoszczaka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</w:p>
    <w:p w:rsidR="002477F3" w:rsidRPr="002477F3" w:rsidRDefault="002477F3" w:rsidP="002477F3">
      <w:pPr>
        <w:pStyle w:val="Akapitzlist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„Koncepcji </w:t>
      </w:r>
      <w:proofErr w:type="spellStart"/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>metaopisu</w:t>
      </w:r>
      <w:proofErr w:type="spellEnd"/>
      <w:r w:rsidRPr="002477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l-PL"/>
        </w:rPr>
        <w:t xml:space="preserve"> semantycznego”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autorstwa Wojciecha Jaworskiego.</w:t>
      </w:r>
    </w:p>
    <w:p w:rsidR="00176F8F" w:rsidRDefault="002477F3" w:rsidP="00176F8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trakcie analizy powstała potrzeba dodania dwóch zjawisk semantycznych: </w:t>
      </w:r>
      <w:r w:rsidRPr="004B4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potwierdzenia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(np.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okej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tak, owszem) oraz z</w:t>
      </w:r>
      <w:r w:rsidRPr="004B42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  <w:t>aprzeczenia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(np. nie, </w:t>
      </w:r>
      <w:r w:rsidR="004B424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ogóle). W kolumnie drugiej pliku znalazły się nazwy zjawisk semantycznych, a w kolejnej kolumnie informacja, czego dotyczy zjawisko semantyczne lub istotne informacje, które uznane zostały za przydatne przy kolejnym etapie pracy. W kolumnie opatrzonej nagłówkiem Uwagi pojawiły się adnotacje, dotyczące nietypowego zachowania konkretnych </w:t>
      </w:r>
      <w:proofErr w:type="spellStart"/>
      <w:r w:rsidR="004B424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kublików</w:t>
      </w:r>
      <w:proofErr w:type="spellEnd"/>
      <w:r w:rsidR="004B424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</w:p>
    <w:p w:rsidR="004B4243" w:rsidRDefault="004B4243" w:rsidP="00176F8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Spójrzmy na przykład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kublika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„owszem” w znaczeniu 2. „Owszem” służy zazwyczaj do potwierdzenia sądu, jednak w szczególnym użyciu, gdy chcemy zanegować wcześniejszy, wypowiedziany przez kogoś, sąd, może służyć jako zaprzeczenie. Poniżej przykład użycia:</w:t>
      </w:r>
    </w:p>
    <w:p w:rsidR="004B4243" w:rsidRDefault="004B4243" w:rsidP="004B4243">
      <w:pPr>
        <w:spacing w:after="0" w:line="240" w:lineRule="auto"/>
        <w:jc w:val="both"/>
        <w:rPr>
          <w:rFonts w:ascii="Calibri" w:eastAsia="Times New Roman" w:hAnsi="Calibri" w:cs="Calibri"/>
          <w:i/>
          <w:color w:val="000000"/>
          <w:lang w:eastAsia="pl-PL"/>
        </w:rPr>
      </w:pPr>
      <w:r w:rsidRPr="004B4243">
        <w:rPr>
          <w:rFonts w:ascii="Calibri" w:eastAsia="Times New Roman" w:hAnsi="Calibri" w:cs="Calibri"/>
          <w:i/>
          <w:color w:val="000000"/>
          <w:lang w:eastAsia="pl-PL"/>
        </w:rPr>
        <w:t xml:space="preserve">– </w:t>
      </w:r>
      <w:r>
        <w:rPr>
          <w:rFonts w:ascii="Calibri" w:eastAsia="Times New Roman" w:hAnsi="Calibri" w:cs="Calibri"/>
          <w:i/>
          <w:color w:val="000000"/>
          <w:lang w:eastAsia="pl-PL"/>
        </w:rPr>
        <w:t xml:space="preserve"> </w:t>
      </w:r>
      <w:r w:rsidRPr="004B4243">
        <w:rPr>
          <w:rFonts w:ascii="Calibri" w:eastAsia="Times New Roman" w:hAnsi="Calibri" w:cs="Calibri"/>
          <w:i/>
          <w:color w:val="000000"/>
          <w:lang w:eastAsia="pl-PL"/>
        </w:rPr>
        <w:t>Ona już nie wróci.</w:t>
      </w:r>
    </w:p>
    <w:p w:rsidR="004B4243" w:rsidRPr="004B4243" w:rsidRDefault="004B4243" w:rsidP="004B4243">
      <w:pPr>
        <w:spacing w:after="0" w:line="240" w:lineRule="auto"/>
        <w:jc w:val="both"/>
        <w:rPr>
          <w:rFonts w:ascii="Calibri" w:eastAsia="Times New Roman" w:hAnsi="Calibri" w:cs="Calibri"/>
          <w:i/>
          <w:color w:val="000000"/>
          <w:lang w:eastAsia="pl-PL"/>
        </w:rPr>
      </w:pPr>
      <w:r w:rsidRPr="004B4243">
        <w:rPr>
          <w:rFonts w:ascii="Calibri" w:eastAsia="Times New Roman" w:hAnsi="Calibri" w:cs="Calibri"/>
          <w:i/>
          <w:color w:val="000000"/>
          <w:lang w:eastAsia="pl-PL"/>
        </w:rPr>
        <w:t xml:space="preserve"> – Owszem, wróci.</w:t>
      </w:r>
    </w:p>
    <w:p w:rsidR="00DD0D4A" w:rsidRDefault="00DD0D4A"/>
    <w:sectPr w:rsidR="00DD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CA6"/>
    <w:multiLevelType w:val="hybridMultilevel"/>
    <w:tmpl w:val="D7C41B7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0222BC"/>
    <w:multiLevelType w:val="hybridMultilevel"/>
    <w:tmpl w:val="93F8043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9AE5EA5"/>
    <w:multiLevelType w:val="hybridMultilevel"/>
    <w:tmpl w:val="6A0A82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BA"/>
    <w:rsid w:val="00176F8F"/>
    <w:rsid w:val="002477F3"/>
    <w:rsid w:val="004B4243"/>
    <w:rsid w:val="007B15F5"/>
    <w:rsid w:val="00AD7BBA"/>
    <w:rsid w:val="00D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B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7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B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Przetacka</dc:creator>
  <cp:lastModifiedBy>Joanna Przetacka</cp:lastModifiedBy>
  <cp:revision>1</cp:revision>
  <dcterms:created xsi:type="dcterms:W3CDTF">2017-12-18T12:39:00Z</dcterms:created>
  <dcterms:modified xsi:type="dcterms:W3CDTF">2017-12-18T13:22:00Z</dcterms:modified>
</cp:coreProperties>
</file>