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718096"/>
          <w:sz w:val="19"/>
        </w:rPr>
        <w:t>POLITECHNIKA KRAKOWSKA — WYDZIAŁ INFORMATYKI I TELEKOMUNIKACJI</w:t>
        <w:br/>
        <w:t>Przetwarzanie Języka Naturalnego (NLP) — Rok akademicki 2026/2027</w:t>
      </w:r>
    </w:p>
    <w:p>
      <w:pPr>
        <w:spacing w:before="240" w:after="80"/>
        <w:jc w:val="center"/>
      </w:pPr>
      <w:r>
        <w:rPr>
          <w:b/>
          <w:color w:val="1A365D"/>
          <w:sz w:val="36"/>
        </w:rPr>
        <w:t>Laboratorium nr 3 — Wyszukiwanie pełnotekstowe: SQL kontra Solr</w:t>
      </w:r>
    </w:p>
    <w:p>
      <w:pPr>
        <w:spacing w:after="240"/>
        <w:jc w:val="center"/>
      </w:pPr>
      <w:r>
        <w:rPr>
          <w:b/>
          <w:color w:val="2B6CB0"/>
          <w:sz w:val="24"/>
        </w:rPr>
        <w:t>Kompleksowy raport z badań wydajnościowych i analizy funkcjonalnej (Poziom 5.0)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Autorzy: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Aleksandra Gołek, Klaudia Karczmarczyk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Środowisko bazodanowe: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PostgreSQL 16 (indeks GIN tsvector) oraz Apache Solr 10 (Docker, SOLR_HEAP=2g)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Specyfikacja sprzętowa: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Intel(R) Core(TM) i7-10850H CPU @ 2.70GHz (6 rdzeni, 12 wątków) | 32 GB DDR4 | NVMe WDC 512GB SSD</w:t>
            </w:r>
          </w:p>
        </w:tc>
      </w:tr>
      <w:tr>
        <w:tc>
          <w:tcPr>
            <w:tcW w:type="dxa" w:w="3168"/>
            <w:shd w:fill="F7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System operacyjny / Narzędzia: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Windows 11 / WSL2 | Python 3.13 | Docker 28.4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1A365D"/>
          <w:sz w:val="26"/>
        </w:rPr>
        <w:t>1. Opis i charakterystyka zbioru danych</w:t>
      </w:r>
    </w:p>
    <w:p>
      <w:pPr>
        <w:spacing w:after="160"/>
      </w:pPr>
      <w:r>
        <w:t>W ramach realizacji wymagań na ocenę 5.0 wygenerowano syntetyczny korpus techniczny o łącznym wolumenie 500,000 rekordów (270.6 MB w formacie CSV). Zbiór składa się z 250,000 unikalnych publikacji i artykułów naukowo-technicznych oraz 250,000 rekordów powielonych z oznaczeniem flagi copy_no=1 i zachowanym oryginalnym identyfikatorem orig_id. Powielenie zostało przeprowadzone ściśle według instrukcji laboratoryjnej, w celu zbadania zachowania silników przy występowaniu duplikatów oraz weryfikacji zaawansowanego mechanizmu deduplikacji (Collapsing).</w:t>
        <w:br/>
        <w:t>Do generowania użyto zoptymalizowanego modułu w języku Python. Całkowicie wyeliminowano teksty typu 'Lorem ipsum', stosując realne konstrukcje gramatyczne języka angielskiego z bogatą terminologią techniczną i różnymi formami fleksyjnymi (co umożliwiło miarodajną ocenę działania stemmingu, stoplist i rankingów BM25). Średnia długość treści artykułu wynosi 440.4 znaków, co z zapasem spełnia warunek brzegowy laboratorium (min. 300 znaków/rekord).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Pole</w:t>
            </w:r>
          </w:p>
        </w:tc>
        <w:tc>
          <w:tcPr>
            <w:tcW w:type="dxa" w:w="331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Typ danych (SQL / Solr)</w:t>
            </w:r>
          </w:p>
        </w:tc>
        <w:tc>
          <w:tcPr>
            <w:tcW w:type="dxa" w:w="3312"/>
            <w:shd w:fill="EBF8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A365D"/>
                <w:sz w:val="19"/>
              </w:rPr>
              <w:t>Opis i rola w badaniu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BIGINT / string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Unikalny klucz główny każdego dokumentu (od 1 do 500 000).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orig_id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BIGINT / plong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Identyfikator oryginału (1-250 000); podstawa deduplikacji w rozszerzeniu Collapsing.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TEXT / text_en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Tytuł artykułu (5-10 słów), indeksowany z wyższą wagą boost (title^2.0).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TEXT / text_en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Główny tekst w języku naturalnym (śr. 440 znaków); pole analizowane pełnotekstowo.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VARCHAR / string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Pole kategoryczne (5 domen: AI, Cloud, Cyber, Data, Software) — facety i filtry.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tag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VARCHAR / string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Pole kategoryczne (8 tagów technologicznych, m.in. NLP, Docker, Databases).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rating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NUMERIC / pfloat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Ocena numeryczna od 1.0 do 5.0 — testowanie faceta zakresowego (facet.range).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published_year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 / pint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Rok publikacji (2018–2026) — filtry zakresowe i sortowanie.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copy_no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INT / pint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Wskaźnik replikacji (0 = artykuł oryginalny, 1 = zduplikowana kopia).</w:t>
            </w:r>
          </w:p>
        </w:tc>
      </w:tr>
    </w:tbl>
    <w:p>
      <w:pPr>
        <w:keepNext/>
        <w:spacing w:before="280" w:after="120"/>
      </w:pPr>
      <w:r>
        <w:rPr>
          <w:b/>
          <w:color w:val="1A365D"/>
          <w:sz w:val="26"/>
        </w:rPr>
        <w:t>2. Architektura schematów i konfiguracja indeksów</w:t>
      </w:r>
    </w:p>
    <w:p>
      <w:r>
        <w:t>PostgreSQL 16:</w:t>
        <w:br/>
        <w:t>Do obsługi wyszukiwania pełnotekstowego utworzono dedykowaną kolumnę wektorową tsvector ze składowaniem na dysku:</w:t>
        <w:br/>
        <w:t>tsv TSVECTOR GENERATED ALWAYS AS (</w:t>
        <w:br/>
        <w:t xml:space="preserve">    setweight(to_tsvector('english', coalesce(title, '')), 'A') || </w:t>
        <w:br/>
        <w:t xml:space="preserve">    setweight(to_tsvector('english', coalesce(content, '')), 'B')</w:t>
        <w:br/>
        <w:t>) STORED;</w:t>
        <w:br/>
        <w:t>Indeksowanie zrealizowano przy pomocy odwróconego indeksu uogólnionego GIN(tsv). Dla wsparcia zapytań rozmytych zainstalowano moduł rozszerzenia pg_trgm oraz utworzono indeks trójgramowy GIN(content gin_trgm_ops). Pola kategoryczne (category, tag, orig_id, rating) objęto standardowymi indeksami B-drzewa.</w:t>
      </w:r>
    </w:p>
    <w:p>
      <w:r>
        <w:t>Apache Solr 10:</w:t>
        <w:br/>
        <w:t>Kolekcję nlp_lab3 skonfigurowano w sposób w pełni deterministyczny, wyłączając tryb schemaless (update.autoCreateFields=false). Jawny schemat pól zdefiniowano za pośrednictwem Solr Schema API.</w:t>
        <w:br/>
        <w:t>Uzasadnienie doboru flag technicznych pól:</w:t>
        <w:br/>
        <w:t>• indexed='true' — niezbędne dla pól podlegających wyszukiwaniu pełnotekstowemu (title, content) oraz parametrom fq;</w:t>
        <w:br/>
        <w:t>• stored='true' — konieczne do bezpośredniego zwracania treści w formacie JSON oraz działania mechanizmu podświetlania (hl);</w:t>
        <w:br/>
        <w:t>• docValues='true' — kluczowa flaga dla pól orig_id, category, tag, rating. Zapis w strukturze kolumnowej poza stertą JVM zapobiega wyczerpaniu pamięci (OOM), przyspieszając sortowanie, agregację facetów oraz collapsing o rząd wielkości;</w:t>
        <w:br/>
        <w:t>• Łańcuch analizy (text_en) — StandardTokenizer (podział na słowa) → LowerCaseFilter (normalizacja wielkości liter) → EnglishPossessiveFilter (usuwanie form dopełniacza) → PorterStemFilter (sprowadzanie wyrazów do wspólnego rdzenia).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3. Porównanie funkcjonalne i jakościowe</w:t>
      </w:r>
    </w:p>
    <w:p>
      <w:r>
        <w:t>W ramach badań zaimplementowano i zweryfikowano 3 zapytania testowe zdefiniowane w wymaganiach laboratoryjnych:</w:t>
        <w:br/>
        <w:t>1. Q1: Pojedyncze słowo w dowolnej formie (Stemming) — słowo 'perform'. Zarówno PostgreSQL (to_tsquery('english', 'perform')), jak i Solr (text_en) bezbłędnie zidentyfikowały odmiany gramatyczne: perform, performance, performing, performed, zwracając komplet 500 000 pasujących dokumentów. Dla porównania skan sekwencyjny LIKE '%perform%' odnalazł te same rekordy, lecz wymagał pełnego odczytu całej tabeli.</w:t>
        <w:br/>
        <w:t>2. Q2: Fraza — słowa obok siebie w podanej kolejności ("machine learning"). Solr (q="machine learning") oraz PostgreSQL (phraseto_tsquery('english', 'machine learning')) zwróciły identyczny zbiór trafień, uwzględniając bezwzględną bliskość tokenów i odrzucając dokumenty, w których słowa te występowały w innych zdaniach lub oddzielone innymi wyrazami.</w:t>
        <w:br/>
        <w:t>3. Q3: Złożona logika boolowska z negacją — wyrażenie 'database &amp; (performance | speed) &amp; !slow'. Oba silniki poprawnie zinterpretowały priorytety operatorów logicznych i wykluczyły rekordy zawierające termin zakazany (0 wyników dla restrykcyjnego warunku !slow).</w:t>
        <w:br/>
        <w:t>4. Ranking trafności Top-10 — w Solrze zastosowano parser eDisMax z wagowaniem qf=title^2.0 content^1.0 (model prawdopodobieństwa BM25). W PostgreSQL zastosowano funkcję ts_rank_cd(tsv, query) z wagami A=1.0 i B=0.4. Porównanie wykazało 100% pokrycia zbioru 10 najlepszych dokumentów (te same identyfikatory ID). Różnice numeryczne wynikają z samej natury algorytmów: BM25 uwzględnia nasycenie częstością słowa (TF saturation) oraz normalizację długością dokumentu, podczas gdy ts_rank_cd bazuje na gęstości pokrycia tekstu (Cover Density).</w:t>
        <w:br/>
        <w:t>5. Podświetlanie trafień (Highlighting) — Solr przy użyciu parametru hl=true&amp;hl.fl=content wygenerował fragmenty z tagami &lt;em&gt; w czasie zaledwie 3 ms bezpośrednio z indeksu. W PostgreSQL funkcja ts_headline() realizuje to zadanie w czasie runtime, co przy dużej skali generuje istotny narzut na CPU.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4. Wyniki pomiarów wydajnościowych (Zbiór 500 000 rekordów)</w:t>
      </w:r>
    </w:p>
    <w:p>
      <w:r>
        <w:t>Pomiary wydajności przeprowadzono zgodnie z metodyką opisaną w instrukcji: po rozgrzaniu pamięci podręcznej (rozgrzany cache), zapisując medianę z 5 kolejnych uruchomień. Czasy SQL rejestrowano za pomocą EXPLAIN (ANALYZE, BUFFERS), natomiast w Solrze mierzono wewnętrzny czas wykonania silnika (QTime) oraz całkowity czas żądania po stronie klienta HTTP.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Zapytanie testowe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Wyniki SQL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Solr numFound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SQL FTS GIN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SQL LIKE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Solr QTime</w:t>
            </w:r>
          </w:p>
        </w:tc>
        <w:tc>
          <w:tcPr>
            <w:tcW w:type="dxa" w:w="1419"/>
            <w:shd w:fill="EBF8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A365D"/>
                <w:sz w:val="17"/>
              </w:rPr>
              <w:t>Solr Klient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Q1 (Stemming)</w:t>
              <w:br/>
              <w:t>'perform'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500,000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500,000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b/>
                <w:sz w:val="17"/>
              </w:rPr>
              <w:t>1.45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284.1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b/>
                <w:sz w:val="17"/>
              </w:rPr>
              <w:t>4.10 ms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Q2 (Fraza)</w:t>
              <w:br/>
              <w:t>'machine learning'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500,000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500,000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2.80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5.25 ms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Q3 (Negacja)</w:t>
              <w:br/>
              <w:t>A &amp; (B | C) &amp; !D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b/>
                <w:sz w:val="17"/>
              </w:rPr>
              <w:t>2.15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sz w:val="17"/>
              </w:rPr>
              <w:t>2 ms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80" w:type="dxa"/>
              <w:right w:w="80" w:type="dxa"/>
            </w:tcMar>
            <w:shd w:fill="F7FAFC"/>
          </w:tcPr>
          <w:p>
            <w:r>
              <w:rPr>
                <w:b/>
                <w:sz w:val="17"/>
              </w:rPr>
              <w:t>3.85 ms</w:t>
            </w:r>
          </w:p>
        </w:tc>
      </w:tr>
    </w:tbl>
    <w:p>
      <w:pPr>
        <w:spacing w:before="20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zasy_zapytan_porownan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7"/>
        </w:rPr>
        <w:t>Rysunek 1: Porównanie czasów wykonania zapytań pełnotekstowych (mediana z 5 prób, zbiór 500k rekordów)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5. Skalowanie: 10% vs 50% vs 100% danych (Wymóg poziomu 5.0)</w:t>
      </w:r>
    </w:p>
    <w:p>
      <w:r>
        <w:t>Zbadano dynamikę wzrostu czasów wykonania zapytań przy trzykrotnym skalowaniu wolumenu danych: 10% (50 000 rekordów), 50% (250 000 rekordów) oraz 100% (500 000 rekordów). Wyniki zestawiono w tabeli oraz na wykresie skalowania.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8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8"/>
              </w:rPr>
              <w:t>Wielkość zbioru</w:t>
            </w:r>
          </w:p>
        </w:tc>
        <w:tc>
          <w:tcPr>
            <w:tcW w:type="dxa" w:w="2484"/>
            <w:shd w:fill="EBF8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8"/>
              </w:rPr>
              <w:t>SQL LIKE '%...%'</w:t>
            </w:r>
          </w:p>
        </w:tc>
        <w:tc>
          <w:tcPr>
            <w:tcW w:type="dxa" w:w="2484"/>
            <w:shd w:fill="EBF8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8"/>
              </w:rPr>
              <w:t>PostgreSQL FTS (GIN)</w:t>
            </w:r>
          </w:p>
        </w:tc>
        <w:tc>
          <w:tcPr>
            <w:tcW w:type="dxa" w:w="2484"/>
            <w:shd w:fill="EBF8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A365D"/>
                <w:sz w:val="18"/>
              </w:rPr>
              <w:t>Apache Solr 10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10% (50 000 rekordów)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29.4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0.85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2.90 ms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50% (250 000 rekordów)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142.1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1.15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3.45 ms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b/>
                <w:sz w:val="18"/>
              </w:rPr>
              <w:t>100% (500 000 rekordów)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284.1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1.45 ms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</w:tcPr>
          <w:p>
            <w:r>
              <w:rPr>
                <w:sz w:val="18"/>
              </w:rPr>
              <w:t>4.10 ms</w:t>
            </w:r>
          </w:p>
        </w:tc>
      </w:tr>
    </w:tbl>
    <w:p>
      <w:pPr>
        <w:spacing w:before="20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alowanie_zapyt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Rysunek 2: Wykres skalowania czasów wykonania zapytań dla 10%, 50% i 100% danych</w:t>
      </w:r>
    </w:p>
    <w:p>
      <w:r>
        <w:t>Wnioski ze skalowania:</w:t>
        <w:br/>
        <w:t>• SQL LIKE '%...%' wykazuje ściśle liniową złożoność obliczeniową O(N). Czas rośnie proporcjonalnie do liczby wierszy (29.4 ms → 142.1 ms → 284.1 ms). LIKE przestaje wystarczać już przy kilkudziesięciu tysiącach rekordów, uniemożliwiając interaktywną pracę użytkownika w aplikacjach webowych.</w:t>
        <w:br/>
        <w:t>• Indeks pełnotekstowy GIN w PostgreSQL oraz odwrócony indeks Lucene w Solrze skalują się sublinearnie/logarytmicznie O(log N). Wzrost rozmiaru bazy z 50k do 500k spowodował wydłużenie czasu zapytania w Postgresie zaledwie z 0.85 ms do 1.45 ms, a w Solrze z 2.90 ms do 4.10 ms. Oznacza to, że przy samym wyszukiwaniu tekstu obie technologie radzą sobie znakomicie.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6. Analiza wydajności: Solr Facets kontra SQL GROUP BY (Wymóg poziomu 5.0)</w:t>
      </w:r>
    </w:p>
    <w:p>
      <w:r>
        <w:t>Kluczowym wyróżnikiem silników wyszukiwania jest zdolność do równoległego wyliczania wielowymiarowych liczników nawigacji fasetowej. W badaniu zestawiono jedno zapytanie Solra z dwoma facetami kategorycznymi (category, tag) i jednym facetem zakresowym (rating w krokach co 1.0) wobec odpowiadających mu trzech zapytań agregujących GROUP BY w PostgreSQL.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ty_vs_groupb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Rysunek 3: Porównanie wydajności: pojedyncze zapytanie Solr Facets kontra sumaryczny czas SQL GROUP BY</w:t>
      </w:r>
    </w:p>
    <w:p>
      <w:r>
        <w:t>Wyniki liczbowe i interpretacja architektoniczna:</w:t>
        <w:br/>
        <w:t>• Apache Solr (2 facety + 1 zakresowy): 14.8 ms (wewnętrzny QTime: 11 ms);</w:t>
        <w:br/>
        <w:t>• PostgreSQL (3 x GROUP BY): 289.2 ms sumarycznie (kategoria: 86.4 ms, tag: 88.1 ms, przedziały ocen: 114.7 ms);</w:t>
        <w:br/>
        <w:t>• Przyspieszenie Solra: 19.5x szybciej!</w:t>
        <w:br/>
        <w:t>Dlaczego występuje tak kolosalna różnica? PostgreSQL jest zoptymalizowany pod kątem operacji transakcyjnych i odczytów wierszowych. Aby wyliczyć agregacje dla wyników FTS, silnik bazy danych musi wielokrotnie skanować setki tysięcy zidentyfikowanych wierszy i tworzyć tabele haszujące w pamięci roboczej. Apache Solr opiera się natomiast na strukturach docValues — kolumnowym zapisie pól na dysku mapowanym bezpośrednio do pamięci jądra (OS Page Cache) oraz mechanizmie FilterCache, co pozwala agregować liczności przez bitowe operacje na zbiorach dokumentów w ułamku sekundy.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7. Analiza wybranych rozszerzeń technicznych (Wymóg poziomu 5.0)</w:t>
      </w:r>
    </w:p>
    <w:p>
      <w:r>
        <w:t>Zgodnie z wymaganiem poziomu 5.0 zrealizowano i poddano pomiarom dwa zaawansowane rozszerzenia funkcjonalne:</w:t>
        <w:br/>
        <w:t>1. Rozszerzenie 1: Odporność na literówki (Fuzzy search) — zapytanie z błędem ortograficznym 'machne lerning' zamiast 'machine learning'.</w:t>
        <w:br/>
        <w:t>2. Rozszerzenie 2: Deduplikacja po powieleniu (Collapsing po orig_id) — eliminacja replikowanych kopii w zestawieniu najlepszych wyników top-10.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319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zszerzenia_porownani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7"/>
        </w:rPr>
        <w:t>Rysunek 4: Porównanie czasów wykonania wybranych rozszerzeń: Fuzzy Search (literówki) oraz Collapsing (duplikaty)</w:t>
      </w:r>
    </w:p>
    <w:p>
      <w:r>
        <w:t>Analiza wyników rozszerzeń:</w:t>
        <w:br/>
        <w:t>• Fuzzy Search (Odporność na literówki): Zapytanie standardowe LIKE '%machne lerning%' zwróciło 0 wyników (całkowita bezużyteczność przy błędach użytkownika). W PostgreSQL dzięki rozszerzeniu pg_trgm i operatorowi podobieństwa % odnaleziono poprawne dokumenty w czasie 68.4 ms. Apache Solr z wbudowanym operatorem rozmycia q=machne~1 lerning~1 zrealizował to zadanie w zaledwie 9.2 ms (ponad 7x szybciej). Wynika to z faktu, że silnik Lucene implementuje algorytm Damerau-Levenshteina bezpośrednio na automatach skończonych (Levensthein Automata) przeszukujących słownik terminów indeksu.</w:t>
        <w:br/>
        <w:t>• Collapsing (Deduplikacja po powieleniu): W zbiorze zawierającym kopie rekordów lista top-10 bez deduplikacji została zdominowana przez pary kopii (oryginał i klon z copy_no=1). Zastosowanie w Solrze parametru fq={!collapse field=orig_id} pozwoliło wyeliminować duplikaty bezpośrednio na poziomie silnika w czasie zaledwie 6.8 ms. W PostgreSQL osiągnięcie identycznego rezultatu wymagało partycjonującej funkcji okna ROW_NUMBER() OVER (PARTITION BY orig_id ORDER BY rank DESC), co wiązało się z czasem 142.5 ms (Solr okazał się 21x szybszy).</w:t>
      </w:r>
    </w:p>
    <w:p>
      <w:pPr>
        <w:keepNext/>
        <w:spacing w:before="280" w:after="120"/>
      </w:pPr>
      <w:r>
        <w:rPr>
          <w:b/>
          <w:color w:val="1A365D"/>
          <w:sz w:val="26"/>
        </w:rPr>
        <w:t>8. Wnioski inżynierskie: Kiedy baza SQL wystarcza, a kiedy sięgnąć po Solra?</w:t>
      </w:r>
    </w:p>
    <w:p>
      <w:r>
        <w:t>Na podstawie przeprowadzonych badań laboratoryjnych na 500 000 rekordów sformułowano następujące rekomendacje architektoniczne:</w:t>
        <w:br/>
        <w:br/>
        <w:t>1. Kiedy relacyjna baza danych (PostgreSQL FTS) jest w zupełności wystarczająca:</w:t>
        <w:br/>
        <w:t>• Aplikacje wewnętrzne (CRM, ERP, CMS) wykonujące proste zapytania pełnotekstowe (wyszukanie klienta po nazwisku, faktury po tytule, frazy w opisie);</w:t>
        <w:br/>
        <w:t>• Konieczność zachowania natychmiastowej spójności transakcyjnej (ACID) — nowo dodany rekord musi być natychmiast widoczny w indeksie bez oczekiwania na cykl commit/flush;</w:t>
        <w:br/>
        <w:t>• Chęć minimalizacji kosztów infrastrukturalnych — unikanie wdrażania, monitorowania, synchronizacji i zabezpieczania odrębnego klastra wyszukiwawczego.</w:t>
        <w:br/>
        <w:br/>
        <w:t>2. Kiedy dedykowany silnik wyszukiwania (Apache Solr) jest bezwzględnie konieczny:</w:t>
        <w:br/>
        <w:t>• Portale e-commerce i serwisy ogłoszeniowe o wysokim natężeniu ruchu — wymóg jednoczesnego zwracania wyników i dziesiątek facetów bocznych (Solr jest ~20x szybszy);</w:t>
        <w:br/>
        <w:t>• Złożone wagowanie trafności biznesowej — konieczność stosowania algorytmu BM25, boostingu nowości, popularności i promocji wybranych kategorii bez obciążania bazy OLTP;</w:t>
        <w:br/>
        <w:t>• Zaawansowane przetwarzanie tekstu w czasie rzeczywistym — natywna tolerancja na literówki (fuzzy search), podświetlanie trafień (highlighting), deduplikacja w locie (collapsing) oraz synonimy zarządzane dynamicznie przez API REST.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