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91taogafp8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5 — Data Explorer with Natural Commands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ic0c4g9hs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Story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non‑technical customer brings a dataset and asks: “show seasonality by region,” “top 5 products this quarter.” They expect sensible views and quick refinements—</w:t>
      </w:r>
      <w:r w:rsidDel="00000000" w:rsidR="00000000" w:rsidRPr="00000000">
        <w:rPr>
          <w:b w:val="1"/>
          <w:rtl w:val="0"/>
        </w:rPr>
        <w:t xml:space="preserve">without learning a BI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67zxlc33u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small data app that loads a table, supports common ops (filter/sort/group/aggregate/pivot), </w:t>
      </w:r>
      <w:r w:rsidDel="00000000" w:rsidR="00000000" w:rsidRPr="00000000">
        <w:rPr>
          <w:b w:val="1"/>
          <w:rtl w:val="0"/>
        </w:rPr>
        <w:t xml:space="preserve">auto‑suggests views</w:t>
      </w:r>
      <w:r w:rsidDel="00000000" w:rsidR="00000000" w:rsidRPr="00000000">
        <w:rPr>
          <w:rtl w:val="0"/>
        </w:rPr>
        <w:t xml:space="preserve">when requests are vague, and lets customers refine using </w:t>
      </w:r>
      <w:r w:rsidDel="00000000" w:rsidR="00000000" w:rsidRPr="00000000">
        <w:rPr>
          <w:b w:val="1"/>
          <w:rtl w:val="0"/>
        </w:rPr>
        <w:t xml:space="preserve">plain language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x3shbayvu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Requirements (only — from Customer)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Talk, don’t tool:</w:t>
      </w:r>
      <w:r w:rsidDel="00000000" w:rsidR="00000000" w:rsidRPr="00000000">
        <w:rPr>
          <w:rtl w:val="0"/>
        </w:rPr>
        <w:t xml:space="preserve"> Describe needs in everyday language and get useful views.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 options when vague:</w:t>
      </w:r>
      <w:r w:rsidDel="00000000" w:rsidR="00000000" w:rsidRPr="00000000">
        <w:rPr>
          <w:rtl w:val="0"/>
        </w:rPr>
        <w:t xml:space="preserve"> Offer </w:t>
      </w:r>
      <w:r w:rsidDel="00000000" w:rsidR="00000000" w:rsidRPr="00000000">
        <w:rPr>
          <w:b w:val="1"/>
          <w:rtl w:val="0"/>
        </w:rPr>
        <w:t xml:space="preserve">2–3 interpretations</w:t>
      </w:r>
      <w:r w:rsidDel="00000000" w:rsidR="00000000" w:rsidRPr="00000000">
        <w:rPr>
          <w:rtl w:val="0"/>
        </w:rPr>
        <w:t xml:space="preserve">, let me pick.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Tell me what you did:</w:t>
      </w:r>
      <w:r w:rsidDel="00000000" w:rsidR="00000000" w:rsidRPr="00000000">
        <w:rPr>
          <w:rtl w:val="0"/>
        </w:rPr>
        <w:t xml:space="preserve"> Short, human‑readable explanation of the current view/op.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Feels smooth:</w:t>
      </w:r>
      <w:r w:rsidDel="00000000" w:rsidR="00000000" w:rsidRPr="00000000">
        <w:rPr>
          <w:rtl w:val="0"/>
        </w:rPr>
        <w:t xml:space="preserve"> Works on </w:t>
      </w:r>
      <w:r w:rsidDel="00000000" w:rsidR="00000000" w:rsidRPr="00000000">
        <w:rPr>
          <w:b w:val="1"/>
          <w:rtl w:val="0"/>
        </w:rPr>
        <w:t xml:space="preserve">mid‑sized 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(thousands → tens of thousands of rows).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Let me take it with me:</w:t>
      </w:r>
      <w:r w:rsidDel="00000000" w:rsidR="00000000" w:rsidRPr="00000000">
        <w:rPr>
          <w:rtl w:val="0"/>
        </w:rPr>
        <w:t xml:space="preserve"> Easy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of the current view.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q7yocimsj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Deliverable (single)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Streamlit app:</w:t>
      </w:r>
      <w:r w:rsidDel="00000000" w:rsidR="00000000" w:rsidRPr="00000000">
        <w:rPr>
          <w:rtl w:val="0"/>
        </w:rPr>
        <w:t xml:space="preserve"> CSV uploader; table preview; NL command box; suggestions panel (confirm/apply); chart area; “operation explain” panel; export. JSON persistence is fine.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owp9hca8k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Hint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configurable operation library</w:t>
      </w:r>
      <w:r w:rsidDel="00000000" w:rsidR="00000000" w:rsidRPr="00000000">
        <w:rPr>
          <w:rtl w:val="0"/>
        </w:rPr>
        <w:t xml:space="preserve"> and keep explanations front‑and‑center so customers stay oriented while refining naturally.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Sample datasets and submission forms will follow in subsequent email chains. A high‑level walkthrough will be provided in tomorrow’s kickoff call.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