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451960"/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374691FD" w14:textId="2602A6BB" w:rsidR="007D5B43" w:rsidRDefault="00EA3C21" w:rsidP="005015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50157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610CC02" w14:textId="04FF76CA" w:rsidR="00B44B4B" w:rsidRDefault="00CD7884" w:rsidP="0050157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ate Due</w:t>
      </w:r>
      <w:r>
        <w:rPr>
          <w:rFonts w:ascii="Times New Roman" w:hAnsi="Times New Roman" w:cs="Times New Roman"/>
        </w:rPr>
        <w:t xml:space="preserve">: </w:t>
      </w:r>
    </w:p>
    <w:p w14:paraId="00A15C23" w14:textId="7AE01796" w:rsidR="0055147A" w:rsidRDefault="006B06C8" w:rsidP="00740AF1">
      <w:r w:rsidRPr="006B06C8">
        <w:rPr>
          <w:rFonts w:ascii="TimesNewRomanPSMT" w:hAnsi="TimesNewRomanPSMT"/>
          <w:color w:val="000000"/>
        </w:rPr>
        <w:t xml:space="preserve">1. </w:t>
      </w:r>
      <w:r w:rsidR="0055147A" w:rsidRPr="0055147A">
        <w:rPr>
          <w:rFonts w:ascii="Century" w:hAnsi="Century"/>
          <w:color w:val="000000"/>
        </w:rPr>
        <w:t>Two parties agree to a forward contract to exchange 100 shares of a stock one year from now</w:t>
      </w:r>
      <w:r w:rsidR="0055147A">
        <w:rPr>
          <w:rFonts w:ascii="Century" w:hAnsi="Century"/>
          <w:color w:val="000000"/>
        </w:rPr>
        <w:t xml:space="preserve"> </w:t>
      </w:r>
      <w:r w:rsidR="0055147A" w:rsidRPr="0055147A">
        <w:rPr>
          <w:rFonts w:ascii="Century" w:hAnsi="Century"/>
          <w:color w:val="000000"/>
        </w:rPr>
        <w:t>for $72 per share. Immediately after they initiate the contract, the price of the underlying</w:t>
      </w:r>
      <w:r w:rsidR="0055147A">
        <w:rPr>
          <w:rFonts w:ascii="Century" w:hAnsi="Century"/>
          <w:color w:val="000000"/>
        </w:rPr>
        <w:t xml:space="preserve"> </w:t>
      </w:r>
      <w:r w:rsidR="0055147A" w:rsidRPr="0055147A">
        <w:rPr>
          <w:rFonts w:ascii="Century" w:hAnsi="Century"/>
          <w:color w:val="000000"/>
        </w:rPr>
        <w:t>stock increases to $74 per share. This share price increase represents a gain for:</w:t>
      </w:r>
      <w:r w:rsidR="0055147A" w:rsidRPr="0055147A">
        <w:rPr>
          <w:rFonts w:ascii="Century" w:hAnsi="Century"/>
          <w:color w:val="000000"/>
        </w:rPr>
        <w:br/>
        <w:t>A. the buyer.</w:t>
      </w:r>
      <w:r w:rsidR="0055147A" w:rsidRPr="0055147A">
        <w:rPr>
          <w:rFonts w:ascii="Century" w:hAnsi="Century"/>
          <w:color w:val="000000"/>
        </w:rPr>
        <w:br/>
        <w:t>B. the seller.</w:t>
      </w:r>
      <w:r w:rsidR="0055147A" w:rsidRPr="0055147A">
        <w:br/>
      </w:r>
      <w:r w:rsidR="0055147A" w:rsidRPr="0055147A">
        <w:rPr>
          <w:rFonts w:ascii="Century" w:hAnsi="Century"/>
          <w:color w:val="000000"/>
        </w:rPr>
        <w:t>C. neither the buyer nor the seller.</w:t>
      </w:r>
      <w:r w:rsidR="0055147A" w:rsidRPr="0055147A">
        <w:t xml:space="preserve"> </w:t>
      </w:r>
    </w:p>
    <w:p w14:paraId="2292618B" w14:textId="41667079" w:rsidR="00740AF1" w:rsidRDefault="00FD4102" w:rsidP="00740AF1">
      <w:pPr>
        <w:rPr>
          <w:rFonts w:ascii="Century" w:hAnsi="Century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="00113B62" w:rsidRPr="00113B62">
        <w:rPr>
          <w:rFonts w:ascii="Century" w:hAnsi="Century"/>
          <w:color w:val="000000"/>
        </w:rPr>
        <w:t>For a forward contract on an asset that has no costs or benefits from holding it to have zero</w:t>
      </w:r>
      <w:r w:rsidR="00113B62">
        <w:rPr>
          <w:rFonts w:ascii="Century" w:hAnsi="Century"/>
          <w:color w:val="000000"/>
        </w:rPr>
        <w:t xml:space="preserve"> </w:t>
      </w:r>
      <w:r w:rsidR="00113B62" w:rsidRPr="00113B62">
        <w:rPr>
          <w:rFonts w:ascii="Century" w:hAnsi="Century"/>
          <w:color w:val="000000"/>
        </w:rPr>
        <w:t>value at initiation, the arbitrage-free forward price must equal:</w:t>
      </w:r>
      <w:r w:rsidR="00113B62" w:rsidRPr="00113B62">
        <w:rPr>
          <w:rFonts w:ascii="Century" w:hAnsi="Century"/>
          <w:color w:val="000000"/>
        </w:rPr>
        <w:br/>
        <w:t>A. the expected future spot price.</w:t>
      </w:r>
      <w:r w:rsidR="00113B62" w:rsidRPr="00113B62">
        <w:rPr>
          <w:rFonts w:ascii="Century" w:hAnsi="Century"/>
          <w:color w:val="000000"/>
        </w:rPr>
        <w:br/>
        <w:t>B. the future value of the current spot price.</w:t>
      </w:r>
      <w:r w:rsidR="00113B62" w:rsidRPr="00113B62">
        <w:rPr>
          <w:rFonts w:ascii="Century" w:hAnsi="Century"/>
          <w:color w:val="000000"/>
        </w:rPr>
        <w:br/>
        <w:t>C. the present value of the expected future spot price.</w:t>
      </w:r>
    </w:p>
    <w:p w14:paraId="25A7B191" w14:textId="784C558F" w:rsidR="00CD4977" w:rsidRDefault="009028A9" w:rsidP="00740AF1">
      <w:r w:rsidRPr="003802CA">
        <w:rPr>
          <w:rFonts w:ascii="TimesNewRomanPSMT" w:hAnsi="TimesNewRomanPSMT"/>
        </w:rPr>
        <w:t xml:space="preserve">3. </w:t>
      </w:r>
      <w:r w:rsidR="0083576F" w:rsidRPr="0083576F">
        <w:rPr>
          <w:rFonts w:ascii="Century" w:hAnsi="Century"/>
          <w:color w:val="000000"/>
        </w:rPr>
        <w:t xml:space="preserve">Which of the following is </w:t>
      </w:r>
      <w:r w:rsidR="0083576F" w:rsidRPr="0083576F">
        <w:rPr>
          <w:color w:val="000000"/>
          <w:sz w:val="24"/>
          <w:szCs w:val="24"/>
        </w:rPr>
        <w:t xml:space="preserve">most </w:t>
      </w:r>
      <w:r w:rsidR="0083576F" w:rsidRPr="0083576F">
        <w:rPr>
          <w:rFonts w:ascii="Century" w:hAnsi="Century"/>
          <w:color w:val="000000"/>
        </w:rPr>
        <w:t>similar to the floating-rate receiver position in a fixed-for</w:t>
      </w:r>
      <w:r w:rsidR="0083576F">
        <w:rPr>
          <w:rFonts w:ascii="Century" w:hAnsi="Century"/>
          <w:color w:val="000000"/>
        </w:rPr>
        <w:t>-</w:t>
      </w:r>
      <w:r w:rsidR="0083576F" w:rsidRPr="0083576F">
        <w:rPr>
          <w:rFonts w:ascii="Century" w:hAnsi="Century"/>
          <w:color w:val="000000"/>
        </w:rPr>
        <w:t>floating interest-rate swap?</w:t>
      </w:r>
      <w:r w:rsidR="0083576F" w:rsidRPr="0083576F">
        <w:rPr>
          <w:rFonts w:ascii="Century" w:hAnsi="Century"/>
          <w:color w:val="000000"/>
        </w:rPr>
        <w:br/>
        <w:t>A. Buying a fixed-rate bond and a floating-rate note.</w:t>
      </w:r>
      <w:r w:rsidR="0083576F" w:rsidRPr="0083576F">
        <w:rPr>
          <w:rFonts w:ascii="Century" w:hAnsi="Century"/>
          <w:color w:val="000000"/>
        </w:rPr>
        <w:br/>
        <w:t>B. Buying a floating-rate note and issuing a fixed-rate bond.</w:t>
      </w:r>
      <w:r w:rsidR="0083576F" w:rsidRPr="0083576F">
        <w:rPr>
          <w:rFonts w:ascii="Century" w:hAnsi="Century"/>
          <w:color w:val="000000"/>
        </w:rPr>
        <w:br/>
        <w:t>C. Issuing a floating-rate note and buying a fixed-rate bond.</w:t>
      </w:r>
      <w:r w:rsidR="0083576F" w:rsidRPr="0083576F">
        <w:t xml:space="preserve"> </w:t>
      </w:r>
    </w:p>
    <w:p w14:paraId="60C36137" w14:textId="607A71F2" w:rsidR="00170A96" w:rsidRDefault="003C688D" w:rsidP="00170A96">
      <w:pPr>
        <w:rPr>
          <w:rFonts w:ascii="Century" w:hAnsi="Century"/>
          <w:color w:val="000000"/>
          <w:sz w:val="20"/>
          <w:szCs w:val="20"/>
        </w:rPr>
      </w:pPr>
      <w:r w:rsidRPr="003802CA">
        <w:rPr>
          <w:rFonts w:ascii="TimesNewRomanPSMT" w:hAnsi="TimesNewRomanPSMT"/>
        </w:rPr>
        <w:t xml:space="preserve">4. </w:t>
      </w:r>
      <w:r w:rsidR="00CA2BFE" w:rsidRPr="00CA2BFE">
        <w:rPr>
          <w:rFonts w:ascii="Century" w:hAnsi="Century"/>
          <w:color w:val="000000"/>
          <w:sz w:val="20"/>
          <w:szCs w:val="20"/>
        </w:rPr>
        <w:t>The lower bound for the value of a European put option is:</w:t>
      </w:r>
      <w:r w:rsidR="00CA2BFE" w:rsidRPr="00CA2BFE">
        <w:rPr>
          <w:rFonts w:ascii="Century" w:hAnsi="Century"/>
          <w:color w:val="000000"/>
          <w:sz w:val="20"/>
          <w:szCs w:val="20"/>
        </w:rPr>
        <w:br/>
        <w:t xml:space="preserve">A. </w:t>
      </w:r>
      <w:proofErr w:type="gramStart"/>
      <w:r w:rsidR="00CA2BFE" w:rsidRPr="00CA2BFE">
        <w:rPr>
          <w:rFonts w:ascii="Century" w:hAnsi="Century"/>
          <w:color w:val="000000"/>
          <w:sz w:val="20"/>
          <w:szCs w:val="20"/>
        </w:rPr>
        <w:t>Max(</w:t>
      </w:r>
      <w:proofErr w:type="gramEnd"/>
      <w:r w:rsidR="00CA2BFE" w:rsidRPr="00CA2BFE">
        <w:rPr>
          <w:rFonts w:ascii="Century" w:hAnsi="Century"/>
          <w:color w:val="000000"/>
          <w:sz w:val="20"/>
          <w:szCs w:val="20"/>
        </w:rPr>
        <w:t>0, S – X)</w:t>
      </w:r>
      <w:r w:rsidR="00CA2BFE" w:rsidRPr="00CA2BFE">
        <w:rPr>
          <w:rFonts w:ascii="Century" w:hAnsi="Century"/>
          <w:color w:val="000000"/>
          <w:sz w:val="20"/>
          <w:szCs w:val="20"/>
        </w:rPr>
        <w:br/>
        <w:t xml:space="preserve">B. </w:t>
      </w:r>
      <w:proofErr w:type="gramStart"/>
      <w:r w:rsidR="00CA2BFE" w:rsidRPr="00CA2BFE">
        <w:rPr>
          <w:rFonts w:ascii="Century" w:hAnsi="Century"/>
          <w:color w:val="000000"/>
          <w:sz w:val="20"/>
          <w:szCs w:val="20"/>
        </w:rPr>
        <w:t>Max[</w:t>
      </w:r>
      <w:proofErr w:type="gramEnd"/>
      <w:r w:rsidR="00CA2BFE" w:rsidRPr="00CA2BFE">
        <w:rPr>
          <w:rFonts w:ascii="Century" w:hAnsi="Century"/>
          <w:color w:val="000000"/>
          <w:sz w:val="20"/>
          <w:szCs w:val="20"/>
        </w:rPr>
        <w:t xml:space="preserve">0, </w:t>
      </w:r>
      <w:proofErr w:type="gramStart"/>
      <w:r w:rsidR="00CA2BFE" w:rsidRPr="00CA2BFE">
        <w:rPr>
          <w:rFonts w:ascii="Century" w:hAnsi="Century"/>
          <w:color w:val="000000"/>
          <w:sz w:val="20"/>
          <w:szCs w:val="20"/>
        </w:rPr>
        <w:t>X(</w:t>
      </w:r>
      <w:proofErr w:type="gramEnd"/>
      <w:r w:rsidR="00CA2BFE" w:rsidRPr="00CA2BFE">
        <w:rPr>
          <w:rFonts w:ascii="Century" w:hAnsi="Century"/>
          <w:color w:val="000000"/>
          <w:sz w:val="20"/>
          <w:szCs w:val="20"/>
        </w:rPr>
        <w:t>1 + R</w:t>
      </w:r>
      <w:r w:rsidR="00CA2BFE" w:rsidRPr="004A4066">
        <w:rPr>
          <w:rFonts w:ascii="Century" w:hAnsi="Century"/>
          <w:color w:val="000000"/>
          <w:sz w:val="20"/>
          <w:szCs w:val="20"/>
          <w:vertAlign w:val="subscript"/>
        </w:rPr>
        <w:t>f</w:t>
      </w:r>
      <w:r w:rsidR="00CA2BFE" w:rsidRPr="00CA2BFE">
        <w:rPr>
          <w:rFonts w:ascii="Century" w:hAnsi="Century"/>
          <w:color w:val="000000"/>
          <w:sz w:val="20"/>
          <w:szCs w:val="20"/>
        </w:rPr>
        <w:t>)</w:t>
      </w:r>
      <w:r w:rsidR="00CA2BFE" w:rsidRPr="004A4066">
        <w:rPr>
          <w:rFonts w:ascii="Century" w:hAnsi="Century"/>
          <w:color w:val="000000"/>
          <w:sz w:val="20"/>
          <w:szCs w:val="20"/>
          <w:vertAlign w:val="superscript"/>
        </w:rPr>
        <w:t>–(T–t)</w:t>
      </w:r>
      <w:r w:rsidR="00CA2BFE" w:rsidRPr="004A4066">
        <w:rPr>
          <w:rFonts w:ascii="Century" w:hAnsi="Century"/>
          <w:color w:val="000000"/>
          <w:sz w:val="20"/>
          <w:szCs w:val="20"/>
        </w:rPr>
        <w:t xml:space="preserve"> </w:t>
      </w:r>
      <w:r w:rsidR="00CA2BFE" w:rsidRPr="00CA2BFE">
        <w:rPr>
          <w:rFonts w:ascii="Century" w:hAnsi="Century"/>
          <w:color w:val="000000"/>
          <w:sz w:val="20"/>
          <w:szCs w:val="20"/>
        </w:rPr>
        <w:t>– S]</w:t>
      </w:r>
      <w:r w:rsidR="00CA2BFE" w:rsidRPr="00CA2BFE">
        <w:rPr>
          <w:rFonts w:ascii="Century" w:hAnsi="Century"/>
          <w:color w:val="000000"/>
          <w:sz w:val="20"/>
          <w:szCs w:val="20"/>
        </w:rPr>
        <w:br/>
        <w:t xml:space="preserve">C. </w:t>
      </w:r>
      <w:proofErr w:type="gramStart"/>
      <w:r w:rsidR="00CA2BFE" w:rsidRPr="00CA2BFE">
        <w:rPr>
          <w:rFonts w:ascii="Century" w:hAnsi="Century"/>
          <w:color w:val="000000"/>
          <w:sz w:val="20"/>
          <w:szCs w:val="20"/>
        </w:rPr>
        <w:t>Max[</w:t>
      </w:r>
      <w:proofErr w:type="gramEnd"/>
      <w:r w:rsidR="00CA2BFE" w:rsidRPr="00CA2BFE">
        <w:rPr>
          <w:rFonts w:ascii="Century" w:hAnsi="Century"/>
          <w:color w:val="000000"/>
          <w:sz w:val="20"/>
          <w:szCs w:val="20"/>
        </w:rPr>
        <w:t xml:space="preserve">0, S – </w:t>
      </w:r>
      <w:proofErr w:type="gramStart"/>
      <w:r w:rsidR="00CA2BFE" w:rsidRPr="00CA2BFE">
        <w:rPr>
          <w:rFonts w:ascii="Century" w:hAnsi="Century"/>
          <w:color w:val="000000"/>
          <w:sz w:val="20"/>
          <w:szCs w:val="20"/>
        </w:rPr>
        <w:t>X(</w:t>
      </w:r>
      <w:proofErr w:type="gramEnd"/>
      <w:r w:rsidR="00CA2BFE" w:rsidRPr="00CA2BFE">
        <w:rPr>
          <w:rFonts w:ascii="Century" w:hAnsi="Century"/>
          <w:color w:val="000000"/>
          <w:sz w:val="20"/>
          <w:szCs w:val="20"/>
        </w:rPr>
        <w:t>1 + R</w:t>
      </w:r>
      <w:r w:rsidR="00CA2BFE" w:rsidRPr="004A4066">
        <w:rPr>
          <w:rFonts w:ascii="Century" w:hAnsi="Century"/>
          <w:color w:val="000000"/>
          <w:sz w:val="20"/>
          <w:szCs w:val="20"/>
          <w:vertAlign w:val="subscript"/>
        </w:rPr>
        <w:t>f</w:t>
      </w:r>
      <w:r w:rsidR="00CA2BFE" w:rsidRPr="00CA2BFE">
        <w:rPr>
          <w:rFonts w:ascii="Century" w:hAnsi="Century"/>
          <w:color w:val="000000"/>
          <w:sz w:val="20"/>
          <w:szCs w:val="20"/>
        </w:rPr>
        <w:t>)</w:t>
      </w:r>
      <w:r w:rsidR="00CA2BFE" w:rsidRPr="004A4066">
        <w:rPr>
          <w:rFonts w:ascii="Century" w:hAnsi="Century"/>
          <w:color w:val="000000"/>
          <w:sz w:val="20"/>
          <w:szCs w:val="20"/>
          <w:vertAlign w:val="superscript"/>
        </w:rPr>
        <w:t>–(T–t)</w:t>
      </w:r>
      <w:r w:rsidR="00CA2BFE" w:rsidRPr="00CA2BFE">
        <w:rPr>
          <w:rFonts w:ascii="Century" w:hAnsi="Century"/>
          <w:color w:val="000000"/>
          <w:sz w:val="20"/>
          <w:szCs w:val="20"/>
        </w:rPr>
        <w:t>]</w:t>
      </w:r>
    </w:p>
    <w:p w14:paraId="74820C81" w14:textId="1DA0C387" w:rsidR="00D4335D" w:rsidRDefault="00FA6AD9" w:rsidP="00D4335D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8879B9" w:rsidRPr="008879B9">
        <w:rPr>
          <w:rFonts w:ascii="Century" w:hAnsi="Century"/>
          <w:color w:val="000000"/>
        </w:rPr>
        <w:t xml:space="preserve">The put–call-forward parity relationship </w:t>
      </w:r>
      <w:r w:rsidR="008879B9" w:rsidRPr="008879B9">
        <w:rPr>
          <w:color w:val="000000"/>
          <w:sz w:val="24"/>
          <w:szCs w:val="24"/>
        </w:rPr>
        <w:t xml:space="preserve">least likely </w:t>
      </w:r>
      <w:r w:rsidR="008879B9" w:rsidRPr="008879B9">
        <w:rPr>
          <w:rFonts w:ascii="Century" w:hAnsi="Century"/>
          <w:color w:val="000000"/>
        </w:rPr>
        <w:t>includes:</w:t>
      </w:r>
      <w:r w:rsidR="008879B9" w:rsidRPr="008879B9">
        <w:rPr>
          <w:rFonts w:ascii="Century" w:hAnsi="Century"/>
          <w:color w:val="000000"/>
        </w:rPr>
        <w:br/>
        <w:t>A. a risk-free bond.</w:t>
      </w:r>
      <w:r w:rsidR="008879B9" w:rsidRPr="008879B9">
        <w:rPr>
          <w:rFonts w:ascii="Century" w:hAnsi="Century"/>
          <w:color w:val="000000"/>
        </w:rPr>
        <w:br/>
        <w:t>B. call and put options.</w:t>
      </w:r>
      <w:r w:rsidR="008879B9" w:rsidRPr="008879B9">
        <w:rPr>
          <w:rFonts w:ascii="Century" w:hAnsi="Century"/>
          <w:color w:val="000000"/>
        </w:rPr>
        <w:br/>
        <w:t>C. the underlying asset.</w:t>
      </w:r>
    </w:p>
    <w:p w14:paraId="7854645B" w14:textId="1A9E9197" w:rsidR="00FD52E9" w:rsidRDefault="00AE1504" w:rsidP="00FD52E9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6. </w:t>
      </w:r>
      <w:r w:rsidR="00891D2F" w:rsidRPr="00891D2F">
        <w:rPr>
          <w:rFonts w:ascii="Century" w:hAnsi="Century"/>
          <w:color w:val="000000"/>
        </w:rPr>
        <w:t>The put–call parity relationship for European options must hold because a protective put will</w:t>
      </w:r>
      <w:r w:rsidR="00891D2F">
        <w:rPr>
          <w:rFonts w:ascii="Century" w:hAnsi="Century"/>
          <w:color w:val="000000"/>
        </w:rPr>
        <w:t xml:space="preserve"> </w:t>
      </w:r>
      <w:r w:rsidR="00891D2F" w:rsidRPr="00891D2F">
        <w:rPr>
          <w:rFonts w:ascii="Century" w:hAnsi="Century"/>
          <w:color w:val="000000"/>
        </w:rPr>
        <w:t>have the same payoff as:</w:t>
      </w:r>
      <w:r w:rsidR="00891D2F" w:rsidRPr="00891D2F">
        <w:rPr>
          <w:rFonts w:ascii="Century" w:hAnsi="Century"/>
          <w:color w:val="000000"/>
        </w:rPr>
        <w:br/>
        <w:t>A. a covered call.</w:t>
      </w:r>
      <w:r w:rsidR="00891D2F" w:rsidRPr="00891D2F">
        <w:rPr>
          <w:rFonts w:ascii="Century" w:hAnsi="Century"/>
          <w:color w:val="000000"/>
        </w:rPr>
        <w:br/>
        <w:t>B. a fiduciary call.</w:t>
      </w:r>
      <w:r w:rsidR="00891D2F" w:rsidRPr="00891D2F">
        <w:rPr>
          <w:rFonts w:ascii="Century" w:hAnsi="Century"/>
          <w:color w:val="000000"/>
        </w:rPr>
        <w:br/>
        <w:t>C. an uncovered call</w:t>
      </w:r>
    </w:p>
    <w:p w14:paraId="21718FF0" w14:textId="77777777" w:rsidR="003E5968" w:rsidRDefault="003E5968" w:rsidP="00FD52E9">
      <w:pPr>
        <w:rPr>
          <w:rFonts w:ascii="Century" w:hAnsi="Century"/>
          <w:color w:val="000000"/>
        </w:rPr>
      </w:pPr>
    </w:p>
    <w:p w14:paraId="79E75213" w14:textId="061AA36B" w:rsidR="00100FBA" w:rsidRDefault="00100FBA" w:rsidP="00FD52E9">
      <w:pPr>
        <w:rPr>
          <w:rFonts w:ascii="Century" w:hAnsi="Century"/>
          <w:color w:val="000000"/>
        </w:rPr>
      </w:pPr>
      <w:r>
        <w:rPr>
          <w:rFonts w:ascii="Century" w:hAnsi="Century" w:hint="eastAsia"/>
          <w:color w:val="000000"/>
        </w:rPr>
        <w:t xml:space="preserve">A. </w:t>
      </w:r>
      <w:r w:rsidR="005E25D8">
        <w:rPr>
          <w:rFonts w:ascii="Century" w:hAnsi="Century" w:hint="eastAsia"/>
          <w:color w:val="000000"/>
        </w:rPr>
        <w:t xml:space="preserve">Given </w:t>
      </w:r>
      <w:r w:rsidR="008528DF">
        <w:rPr>
          <w:rFonts w:ascii="Century" w:hAnsi="Century" w:hint="eastAsia"/>
          <w:color w:val="000000"/>
        </w:rPr>
        <w:t>S</w:t>
      </w:r>
      <w:r w:rsidR="008528DF" w:rsidRPr="008528DF">
        <w:rPr>
          <w:rFonts w:ascii="Century" w:hAnsi="Century" w:hint="eastAsia"/>
          <w:color w:val="000000"/>
          <w:vertAlign w:val="subscript"/>
        </w:rPr>
        <w:t>0</w:t>
      </w:r>
      <w:r w:rsidR="008528DF">
        <w:rPr>
          <w:rFonts w:ascii="Century" w:hAnsi="Century" w:hint="eastAsia"/>
          <w:color w:val="000000"/>
        </w:rPr>
        <w:t xml:space="preserve"> </w:t>
      </w:r>
      <w:r w:rsidR="00D45960">
        <w:rPr>
          <w:rFonts w:ascii="Century" w:hAnsi="Century" w:hint="eastAsia"/>
          <w:color w:val="000000"/>
        </w:rPr>
        <w:t>=</w:t>
      </w:r>
      <w:r w:rsidR="00D45960">
        <w:rPr>
          <w:rFonts w:ascii="Century" w:hAnsi="Century"/>
          <w:color w:val="000000"/>
        </w:rPr>
        <w:t>$</w:t>
      </w:r>
      <w:r w:rsidR="00D45960">
        <w:rPr>
          <w:rFonts w:ascii="Century" w:hAnsi="Century" w:hint="eastAsia"/>
          <w:color w:val="000000"/>
        </w:rPr>
        <w:t xml:space="preserve">45 </w:t>
      </w:r>
      <w:r w:rsidR="005E25D8">
        <w:rPr>
          <w:rFonts w:ascii="Century" w:hAnsi="Century" w:hint="eastAsia"/>
          <w:color w:val="000000"/>
        </w:rPr>
        <w:t xml:space="preserve">the price of </w:t>
      </w:r>
      <w:r w:rsidR="008528DF">
        <w:rPr>
          <w:rFonts w:ascii="Century" w:hAnsi="Century" w:hint="eastAsia"/>
          <w:color w:val="000000"/>
        </w:rPr>
        <w:t>the underlying stock at t=0, the risk-free rate R</w:t>
      </w:r>
      <w:r w:rsidR="008528DF" w:rsidRPr="00EC59CB">
        <w:rPr>
          <w:rFonts w:ascii="Century" w:hAnsi="Century" w:hint="eastAsia"/>
          <w:color w:val="000000"/>
          <w:vertAlign w:val="subscript"/>
        </w:rPr>
        <w:t>f</w:t>
      </w:r>
      <w:r w:rsidR="00D45960">
        <w:rPr>
          <w:rFonts w:ascii="Century" w:hAnsi="Century"/>
          <w:color w:val="000000"/>
        </w:rPr>
        <w:t xml:space="preserve"> is 5%.</w:t>
      </w:r>
      <w:r w:rsidR="00C649F2">
        <w:rPr>
          <w:rFonts w:ascii="Century" w:hAnsi="Century" w:hint="eastAsia"/>
          <w:color w:val="000000"/>
        </w:rPr>
        <w:t xml:space="preserve"> </w:t>
      </w:r>
      <w:r w:rsidR="008F5D00">
        <w:rPr>
          <w:rFonts w:ascii="Century" w:hAnsi="Century" w:hint="eastAsia"/>
          <w:color w:val="000000"/>
        </w:rPr>
        <w:t>Us</w:t>
      </w:r>
      <w:r w:rsidR="00831405">
        <w:rPr>
          <w:rFonts w:ascii="Century" w:hAnsi="Century" w:hint="eastAsia"/>
          <w:color w:val="000000"/>
        </w:rPr>
        <w:t>e</w:t>
      </w:r>
      <w:r w:rsidR="008F5D00">
        <w:rPr>
          <w:rFonts w:ascii="Century" w:hAnsi="Century" w:hint="eastAsia"/>
          <w:color w:val="000000"/>
        </w:rPr>
        <w:t xml:space="preserve"> the </w:t>
      </w:r>
      <w:r w:rsidR="008F5D00" w:rsidRPr="008F5D00">
        <w:rPr>
          <w:rFonts w:ascii="Century" w:hAnsi="Century" w:hint="eastAsia"/>
          <w:color w:val="000000"/>
          <w:lang w:val="en-US"/>
        </w:rPr>
        <w:t>no-arbitrage forward pric</w:t>
      </w:r>
      <w:r w:rsidR="008F5D00">
        <w:rPr>
          <w:rFonts w:ascii="Century" w:hAnsi="Century" w:hint="eastAsia"/>
          <w:color w:val="000000"/>
          <w:lang w:val="en-US"/>
        </w:rPr>
        <w:t>ing</w:t>
      </w:r>
      <w:r w:rsidR="00A30979">
        <w:rPr>
          <w:rFonts w:ascii="Century" w:hAnsi="Century" w:hint="eastAsia"/>
          <w:color w:val="000000"/>
          <w:lang w:val="en-US"/>
        </w:rPr>
        <w:t xml:space="preserve"> method</w:t>
      </w:r>
      <w:r w:rsidR="00831405">
        <w:rPr>
          <w:rFonts w:ascii="Century" w:hAnsi="Century" w:hint="eastAsia"/>
          <w:color w:val="000000"/>
          <w:lang w:val="en-US"/>
        </w:rPr>
        <w:t xml:space="preserve"> to calculate the </w:t>
      </w:r>
      <w:r w:rsidR="007D060F">
        <w:rPr>
          <w:rFonts w:ascii="Century" w:hAnsi="Century" w:hint="eastAsia"/>
          <w:color w:val="000000"/>
        </w:rPr>
        <w:t>the strike price F</w:t>
      </w:r>
      <w:r w:rsidR="007D060F" w:rsidRPr="00EC59CB">
        <w:rPr>
          <w:rFonts w:ascii="Century" w:hAnsi="Century" w:hint="eastAsia"/>
          <w:color w:val="000000"/>
          <w:vertAlign w:val="subscript"/>
        </w:rPr>
        <w:t>0</w:t>
      </w:r>
      <w:r w:rsidR="007D060F">
        <w:rPr>
          <w:rFonts w:ascii="Century" w:hAnsi="Century" w:hint="eastAsia"/>
          <w:color w:val="000000"/>
        </w:rPr>
        <w:t xml:space="preserve"> of a forward contract at t=0.</w:t>
      </w:r>
    </w:p>
    <w:bookmarkEnd w:id="0"/>
    <w:p w14:paraId="72E82AD1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73DF592B" w14:textId="77777777" w:rsidR="00060F7D" w:rsidRDefault="00060F7D" w:rsidP="00A7587C">
      <w:pPr>
        <w:jc w:val="both"/>
        <w:rPr>
          <w:rFonts w:ascii="Century" w:hAnsi="Century"/>
          <w:color w:val="000000"/>
        </w:rPr>
      </w:pPr>
    </w:p>
    <w:p w14:paraId="24B6E634" w14:textId="0902A109" w:rsidR="00DC463C" w:rsidRDefault="00060F7D" w:rsidP="00A7587C">
      <w:pPr>
        <w:jc w:val="both"/>
        <w:rPr>
          <w:rFonts w:ascii="Century" w:hAnsi="Century"/>
          <w:color w:val="000000"/>
        </w:rPr>
      </w:pPr>
      <w:r>
        <w:rPr>
          <w:rFonts w:ascii="Century" w:hAnsi="Century" w:hint="eastAsia"/>
          <w:color w:val="000000"/>
        </w:rPr>
        <w:t xml:space="preserve">B. </w:t>
      </w:r>
      <w:r w:rsidR="002B7B30">
        <w:rPr>
          <w:rFonts w:ascii="Century" w:hAnsi="Century"/>
          <w:color w:val="000000"/>
        </w:rPr>
        <w:t>The</w:t>
      </w:r>
      <w:r w:rsidR="002B7B30" w:rsidRPr="002B7B30">
        <w:rPr>
          <w:rFonts w:ascii="Century" w:hAnsi="Century"/>
          <w:color w:val="000000"/>
        </w:rPr>
        <w:t xml:space="preserve"> risk-free rate is 5%. You have found a quote for a 3-month put option with an exercise price of $50</w:t>
      </w:r>
      <w:r w:rsidR="005D016D">
        <w:rPr>
          <w:rFonts w:ascii="Century" w:hAnsi="Century"/>
          <w:color w:val="000000"/>
        </w:rPr>
        <w:t xml:space="preserve"> and t</w:t>
      </w:r>
      <w:r w:rsidR="002B7B30" w:rsidRPr="002B7B30">
        <w:rPr>
          <w:rFonts w:ascii="Century" w:hAnsi="Century"/>
          <w:color w:val="000000"/>
        </w:rPr>
        <w:t>he put price is $</w:t>
      </w:r>
      <w:r w:rsidR="00B55618">
        <w:rPr>
          <w:rFonts w:ascii="Century" w:hAnsi="Century"/>
          <w:color w:val="000000"/>
        </w:rPr>
        <w:t>1</w:t>
      </w:r>
      <w:r w:rsidR="002B7B30" w:rsidRPr="002B7B30">
        <w:rPr>
          <w:rFonts w:ascii="Century" w:hAnsi="Century"/>
          <w:color w:val="000000"/>
        </w:rPr>
        <w:t>1.50</w:t>
      </w:r>
      <w:r w:rsidR="00DC463C">
        <w:rPr>
          <w:rFonts w:ascii="Century" w:hAnsi="Century"/>
          <w:color w:val="000000"/>
        </w:rPr>
        <w:t xml:space="preserve">, and </w:t>
      </w:r>
      <w:r w:rsidR="002B7B30" w:rsidRPr="002B7B30">
        <w:rPr>
          <w:rFonts w:ascii="Century" w:hAnsi="Century"/>
          <w:color w:val="000000"/>
        </w:rPr>
        <w:t>the price of the 3-month call option</w:t>
      </w:r>
      <w:r w:rsidR="00DC463C">
        <w:rPr>
          <w:rFonts w:ascii="Century" w:hAnsi="Century"/>
          <w:color w:val="000000"/>
        </w:rPr>
        <w:t xml:space="preserve"> is </w:t>
      </w:r>
      <w:r w:rsidR="005E73A3">
        <w:rPr>
          <w:rFonts w:ascii="Century" w:hAnsi="Century"/>
          <w:color w:val="000000"/>
        </w:rPr>
        <w:t>$2.10</w:t>
      </w:r>
      <w:r w:rsidR="002B7B30" w:rsidRPr="002B7B30">
        <w:rPr>
          <w:rFonts w:ascii="Century" w:hAnsi="Century"/>
          <w:color w:val="000000"/>
        </w:rPr>
        <w:t>.</w:t>
      </w:r>
      <w:r w:rsidR="00DC463C" w:rsidRPr="00DC463C">
        <w:rPr>
          <w:rFonts w:ascii="Century" w:hAnsi="Century"/>
          <w:color w:val="000000"/>
        </w:rPr>
        <w:t xml:space="preserve"> </w:t>
      </w:r>
      <w:r w:rsidR="00DC463C" w:rsidRPr="002B7B30">
        <w:rPr>
          <w:rFonts w:ascii="Century" w:hAnsi="Century"/>
          <w:color w:val="000000"/>
        </w:rPr>
        <w:t>Estimate</w:t>
      </w:r>
      <w:r w:rsidR="00DC463C">
        <w:rPr>
          <w:rFonts w:ascii="Century" w:hAnsi="Century"/>
          <w:color w:val="000000"/>
        </w:rPr>
        <w:t xml:space="preserve"> the contract price for a forward contract</w:t>
      </w:r>
      <w:r w:rsidR="00BA5F35">
        <w:rPr>
          <w:rFonts w:ascii="Century" w:hAnsi="Century"/>
          <w:color w:val="000000"/>
        </w:rPr>
        <w:t>.</w:t>
      </w:r>
    </w:p>
    <w:p w14:paraId="7FE552DF" w14:textId="77777777" w:rsidR="00CC24BB" w:rsidRPr="00FE0B39" w:rsidRDefault="00CC24BB" w:rsidP="00A7587C">
      <w:pPr>
        <w:jc w:val="both"/>
        <w:rPr>
          <w:rFonts w:ascii="Times New Roman" w:hAnsi="Times New Roman" w:cs="Times New Roman"/>
        </w:rPr>
      </w:pPr>
    </w:p>
    <w:sectPr w:rsidR="00CC24BB" w:rsidRPr="00FE0B39" w:rsidSect="006E3522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4E103" w14:textId="77777777" w:rsidR="004B3424" w:rsidRDefault="004B3424" w:rsidP="00371B73">
      <w:pPr>
        <w:spacing w:after="0" w:line="240" w:lineRule="auto"/>
      </w:pPr>
      <w:r>
        <w:separator/>
      </w:r>
    </w:p>
  </w:endnote>
  <w:endnote w:type="continuationSeparator" w:id="0">
    <w:p w14:paraId="135DB1AC" w14:textId="77777777" w:rsidR="004B3424" w:rsidRDefault="004B3424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D1E1E" w14:textId="77777777" w:rsidR="004B3424" w:rsidRDefault="004B3424" w:rsidP="00371B73">
      <w:pPr>
        <w:spacing w:after="0" w:line="240" w:lineRule="auto"/>
      </w:pPr>
      <w:r>
        <w:separator/>
      </w:r>
    </w:p>
  </w:footnote>
  <w:footnote w:type="continuationSeparator" w:id="0">
    <w:p w14:paraId="03F47BA3" w14:textId="77777777" w:rsidR="004B3424" w:rsidRDefault="004B3424" w:rsidP="00371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52C64"/>
    <w:multiLevelType w:val="hybridMultilevel"/>
    <w:tmpl w:val="6AB294E8"/>
    <w:lvl w:ilvl="0" w:tplc="0CFC8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AF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4C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4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60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6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C8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0B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3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646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11AF"/>
    <w:rsid w:val="00022D16"/>
    <w:rsid w:val="000456BA"/>
    <w:rsid w:val="00054D18"/>
    <w:rsid w:val="00060F7D"/>
    <w:rsid w:val="00063B6C"/>
    <w:rsid w:val="00065BB7"/>
    <w:rsid w:val="00071536"/>
    <w:rsid w:val="0007267F"/>
    <w:rsid w:val="00100FBA"/>
    <w:rsid w:val="00113B62"/>
    <w:rsid w:val="00122DF5"/>
    <w:rsid w:val="00131D8D"/>
    <w:rsid w:val="00152F1E"/>
    <w:rsid w:val="00154F25"/>
    <w:rsid w:val="00164A10"/>
    <w:rsid w:val="00170A96"/>
    <w:rsid w:val="001800D0"/>
    <w:rsid w:val="00191A8F"/>
    <w:rsid w:val="001A5CBD"/>
    <w:rsid w:val="001A6D18"/>
    <w:rsid w:val="001C07C4"/>
    <w:rsid w:val="001D5977"/>
    <w:rsid w:val="00201358"/>
    <w:rsid w:val="00210D5D"/>
    <w:rsid w:val="00241E70"/>
    <w:rsid w:val="00260C55"/>
    <w:rsid w:val="002632F9"/>
    <w:rsid w:val="00263666"/>
    <w:rsid w:val="0026663A"/>
    <w:rsid w:val="00290236"/>
    <w:rsid w:val="002951EF"/>
    <w:rsid w:val="002A44A1"/>
    <w:rsid w:val="002B7B30"/>
    <w:rsid w:val="002C53D7"/>
    <w:rsid w:val="002D13AD"/>
    <w:rsid w:val="002E4487"/>
    <w:rsid w:val="002E4EFA"/>
    <w:rsid w:val="00306422"/>
    <w:rsid w:val="00334075"/>
    <w:rsid w:val="003439B6"/>
    <w:rsid w:val="00355DCC"/>
    <w:rsid w:val="00356730"/>
    <w:rsid w:val="00365B1C"/>
    <w:rsid w:val="00371B73"/>
    <w:rsid w:val="003735FC"/>
    <w:rsid w:val="003802CA"/>
    <w:rsid w:val="0039352B"/>
    <w:rsid w:val="003B17C7"/>
    <w:rsid w:val="003C00D3"/>
    <w:rsid w:val="003C688D"/>
    <w:rsid w:val="003E5968"/>
    <w:rsid w:val="00405271"/>
    <w:rsid w:val="0042495C"/>
    <w:rsid w:val="00425067"/>
    <w:rsid w:val="00436692"/>
    <w:rsid w:val="004A4066"/>
    <w:rsid w:val="004B3424"/>
    <w:rsid w:val="004D2BB8"/>
    <w:rsid w:val="004D303B"/>
    <w:rsid w:val="004E03F6"/>
    <w:rsid w:val="004E1CBC"/>
    <w:rsid w:val="00501572"/>
    <w:rsid w:val="00524811"/>
    <w:rsid w:val="00537125"/>
    <w:rsid w:val="0055147A"/>
    <w:rsid w:val="00566A3A"/>
    <w:rsid w:val="00567EB9"/>
    <w:rsid w:val="00582221"/>
    <w:rsid w:val="00593566"/>
    <w:rsid w:val="005A2488"/>
    <w:rsid w:val="005A5A7F"/>
    <w:rsid w:val="005C04EA"/>
    <w:rsid w:val="005D016D"/>
    <w:rsid w:val="005D6BCA"/>
    <w:rsid w:val="005D7EDF"/>
    <w:rsid w:val="005E25D8"/>
    <w:rsid w:val="005E73A3"/>
    <w:rsid w:val="005F34CD"/>
    <w:rsid w:val="005F3E7A"/>
    <w:rsid w:val="005F4A50"/>
    <w:rsid w:val="005F5DEF"/>
    <w:rsid w:val="0060400B"/>
    <w:rsid w:val="006057EC"/>
    <w:rsid w:val="00617515"/>
    <w:rsid w:val="0062242D"/>
    <w:rsid w:val="00642626"/>
    <w:rsid w:val="00663377"/>
    <w:rsid w:val="00674865"/>
    <w:rsid w:val="0068264C"/>
    <w:rsid w:val="006A47C9"/>
    <w:rsid w:val="006B06C8"/>
    <w:rsid w:val="006C2DA3"/>
    <w:rsid w:val="006D1F4B"/>
    <w:rsid w:val="006D6A35"/>
    <w:rsid w:val="006E2EC7"/>
    <w:rsid w:val="006E3522"/>
    <w:rsid w:val="00711E93"/>
    <w:rsid w:val="007144EE"/>
    <w:rsid w:val="00737C47"/>
    <w:rsid w:val="00740AF1"/>
    <w:rsid w:val="00757492"/>
    <w:rsid w:val="0075791D"/>
    <w:rsid w:val="0075794A"/>
    <w:rsid w:val="00774995"/>
    <w:rsid w:val="00782390"/>
    <w:rsid w:val="00787D36"/>
    <w:rsid w:val="007A7BF5"/>
    <w:rsid w:val="007C10DE"/>
    <w:rsid w:val="007C3D35"/>
    <w:rsid w:val="007D060F"/>
    <w:rsid w:val="007D5B43"/>
    <w:rsid w:val="007F7A8A"/>
    <w:rsid w:val="00814C6F"/>
    <w:rsid w:val="00814DB7"/>
    <w:rsid w:val="00815F91"/>
    <w:rsid w:val="0081669C"/>
    <w:rsid w:val="00816899"/>
    <w:rsid w:val="00817361"/>
    <w:rsid w:val="0082154E"/>
    <w:rsid w:val="00831405"/>
    <w:rsid w:val="0083576F"/>
    <w:rsid w:val="00851310"/>
    <w:rsid w:val="008528DF"/>
    <w:rsid w:val="00861D84"/>
    <w:rsid w:val="00870898"/>
    <w:rsid w:val="00872B76"/>
    <w:rsid w:val="008879B9"/>
    <w:rsid w:val="00891D2F"/>
    <w:rsid w:val="008968F4"/>
    <w:rsid w:val="008A0F0B"/>
    <w:rsid w:val="008B7854"/>
    <w:rsid w:val="008D34F2"/>
    <w:rsid w:val="008F171A"/>
    <w:rsid w:val="008F5D00"/>
    <w:rsid w:val="008F6CA7"/>
    <w:rsid w:val="009028A9"/>
    <w:rsid w:val="00921C4A"/>
    <w:rsid w:val="009404C7"/>
    <w:rsid w:val="0097469C"/>
    <w:rsid w:val="00987E68"/>
    <w:rsid w:val="009A7DD1"/>
    <w:rsid w:val="009C0458"/>
    <w:rsid w:val="009C0DB9"/>
    <w:rsid w:val="009C1ADB"/>
    <w:rsid w:val="009C69B7"/>
    <w:rsid w:val="009E1483"/>
    <w:rsid w:val="00A204F6"/>
    <w:rsid w:val="00A30979"/>
    <w:rsid w:val="00A6336D"/>
    <w:rsid w:val="00A74DD1"/>
    <w:rsid w:val="00A7587C"/>
    <w:rsid w:val="00AD3DA7"/>
    <w:rsid w:val="00AE1504"/>
    <w:rsid w:val="00AE5962"/>
    <w:rsid w:val="00AF3958"/>
    <w:rsid w:val="00B17628"/>
    <w:rsid w:val="00B27BF7"/>
    <w:rsid w:val="00B31A22"/>
    <w:rsid w:val="00B32F66"/>
    <w:rsid w:val="00B36234"/>
    <w:rsid w:val="00B44B4B"/>
    <w:rsid w:val="00B55618"/>
    <w:rsid w:val="00BA5F35"/>
    <w:rsid w:val="00BC3864"/>
    <w:rsid w:val="00BF1BBE"/>
    <w:rsid w:val="00C05DF7"/>
    <w:rsid w:val="00C06365"/>
    <w:rsid w:val="00C24AAE"/>
    <w:rsid w:val="00C3150A"/>
    <w:rsid w:val="00C32618"/>
    <w:rsid w:val="00C35DE1"/>
    <w:rsid w:val="00C3692C"/>
    <w:rsid w:val="00C44A61"/>
    <w:rsid w:val="00C52589"/>
    <w:rsid w:val="00C52F19"/>
    <w:rsid w:val="00C53AF3"/>
    <w:rsid w:val="00C649F2"/>
    <w:rsid w:val="00C85677"/>
    <w:rsid w:val="00C921A3"/>
    <w:rsid w:val="00C97642"/>
    <w:rsid w:val="00CA2BFE"/>
    <w:rsid w:val="00CA6471"/>
    <w:rsid w:val="00CB0750"/>
    <w:rsid w:val="00CC24BB"/>
    <w:rsid w:val="00CD3648"/>
    <w:rsid w:val="00CD4977"/>
    <w:rsid w:val="00CD7884"/>
    <w:rsid w:val="00CE6B82"/>
    <w:rsid w:val="00D32C9F"/>
    <w:rsid w:val="00D4335D"/>
    <w:rsid w:val="00D45960"/>
    <w:rsid w:val="00D676BC"/>
    <w:rsid w:val="00D70BAA"/>
    <w:rsid w:val="00D75AC6"/>
    <w:rsid w:val="00D8360C"/>
    <w:rsid w:val="00D9124C"/>
    <w:rsid w:val="00D919E8"/>
    <w:rsid w:val="00D92D07"/>
    <w:rsid w:val="00D93E1F"/>
    <w:rsid w:val="00DA3F12"/>
    <w:rsid w:val="00DB74BD"/>
    <w:rsid w:val="00DC109B"/>
    <w:rsid w:val="00DC1848"/>
    <w:rsid w:val="00DC463C"/>
    <w:rsid w:val="00DC7266"/>
    <w:rsid w:val="00DE1ACE"/>
    <w:rsid w:val="00DE2540"/>
    <w:rsid w:val="00E178DD"/>
    <w:rsid w:val="00E311EE"/>
    <w:rsid w:val="00E368DB"/>
    <w:rsid w:val="00E36CA3"/>
    <w:rsid w:val="00E56C88"/>
    <w:rsid w:val="00E63A4D"/>
    <w:rsid w:val="00E651CD"/>
    <w:rsid w:val="00E66703"/>
    <w:rsid w:val="00E71128"/>
    <w:rsid w:val="00E83F87"/>
    <w:rsid w:val="00EA3C21"/>
    <w:rsid w:val="00EC59CB"/>
    <w:rsid w:val="00EC6136"/>
    <w:rsid w:val="00EE1456"/>
    <w:rsid w:val="00EE7B1D"/>
    <w:rsid w:val="00F077FF"/>
    <w:rsid w:val="00F261F5"/>
    <w:rsid w:val="00F3605A"/>
    <w:rsid w:val="00F46341"/>
    <w:rsid w:val="00F57C84"/>
    <w:rsid w:val="00F60453"/>
    <w:rsid w:val="00F632F2"/>
    <w:rsid w:val="00F64F76"/>
    <w:rsid w:val="00F71378"/>
    <w:rsid w:val="00F87F33"/>
    <w:rsid w:val="00FA6AD9"/>
    <w:rsid w:val="00FB254C"/>
    <w:rsid w:val="00FC0711"/>
    <w:rsid w:val="00FD4102"/>
    <w:rsid w:val="00FD52E9"/>
    <w:rsid w:val="00FD5BC0"/>
    <w:rsid w:val="00FE0B39"/>
    <w:rsid w:val="00FE70E2"/>
    <w:rsid w:val="00FF28E8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232</cp:revision>
  <cp:lastPrinted>2025-05-11T23:08:00Z</cp:lastPrinted>
  <dcterms:created xsi:type="dcterms:W3CDTF">2024-03-13T01:21:00Z</dcterms:created>
  <dcterms:modified xsi:type="dcterms:W3CDTF">2025-05-11T23:19:00Z</dcterms:modified>
</cp:coreProperties>
</file>