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D21D" w14:textId="5D550878" w:rsidR="0002447C" w:rsidRDefault="00823B60" w:rsidP="00D00CEF">
      <w:pPr>
        <w:jc w:val="both"/>
        <w:rPr>
          <w:lang w:val="en-US"/>
        </w:rPr>
      </w:pPr>
      <w:r>
        <w:rPr>
          <w:lang w:val="en-US"/>
        </w:rPr>
        <w:t>Part 2:</w:t>
      </w:r>
    </w:p>
    <w:p w14:paraId="7BA4C0C2" w14:textId="2ACC1670" w:rsidR="00823B60" w:rsidRPr="00D00CEF" w:rsidRDefault="00823B60" w:rsidP="00D00CEF">
      <w:pPr>
        <w:pStyle w:val="ListParagraph"/>
        <w:numPr>
          <w:ilvl w:val="0"/>
          <w:numId w:val="1"/>
        </w:numPr>
        <w:jc w:val="both"/>
        <w:rPr>
          <w:lang w:val="en-US"/>
        </w:rPr>
      </w:pPr>
      <w:r>
        <w:rPr>
          <w:lang w:val="en-US"/>
        </w:rPr>
        <w:t xml:space="preserve">We ran the monolithic implementation of the </w:t>
      </w:r>
      <w:proofErr w:type="spellStart"/>
      <w:r>
        <w:rPr>
          <w:lang w:val="en-US"/>
        </w:rPr>
        <w:t>HotelMap</w:t>
      </w:r>
      <w:proofErr w:type="spellEnd"/>
      <w:r>
        <w:rPr>
          <w:lang w:val="en-US"/>
        </w:rPr>
        <w:t xml:space="preserve"> app to get some baseline metrics so we c</w:t>
      </w:r>
      <w:r w:rsidR="00831D75">
        <w:rPr>
          <w:lang w:val="en-US"/>
        </w:rPr>
        <w:t>ould</w:t>
      </w:r>
      <w:r>
        <w:rPr>
          <w:lang w:val="en-US"/>
        </w:rPr>
        <w:t xml:space="preserve"> evaluate and compare with the microservices implementation of the app. We also modified the supplied LUA script such that it would only make requests for the search functionality of the app and ignore any other unimplemented functionalities. </w:t>
      </w:r>
      <w:r w:rsidR="00831D75">
        <w:rPr>
          <w:lang w:val="en-US"/>
        </w:rPr>
        <w:t xml:space="preserve">Furthermore, we used a newer version of the </w:t>
      </w:r>
      <w:proofErr w:type="spellStart"/>
      <w:r w:rsidR="00831D75" w:rsidRPr="00831D75">
        <w:rPr>
          <w:rFonts w:ascii="Consolas" w:hAnsi="Consolas"/>
          <w:lang w:val="en-US"/>
        </w:rPr>
        <w:t>wr</w:t>
      </w:r>
      <w:r w:rsidR="00831D75">
        <w:rPr>
          <w:rFonts w:ascii="Consolas" w:hAnsi="Consolas"/>
          <w:lang w:val="en-US"/>
        </w:rPr>
        <w:t>k</w:t>
      </w:r>
      <w:proofErr w:type="spellEnd"/>
      <w:r w:rsidR="00831D75">
        <w:rPr>
          <w:rFonts w:ascii="Consolas" w:hAnsi="Consolas"/>
          <w:lang w:val="en-US"/>
        </w:rPr>
        <w:t xml:space="preserve"> </w:t>
      </w:r>
      <w:r w:rsidR="00831D75">
        <w:rPr>
          <w:rFonts w:cstheme="minorHAnsi"/>
          <w:lang w:val="en-US"/>
        </w:rPr>
        <w:t>which allowed us to get more accurate results for the 99.999</w:t>
      </w:r>
      <w:r w:rsidR="00831D75" w:rsidRPr="00831D75">
        <w:rPr>
          <w:rFonts w:cstheme="minorHAnsi"/>
          <w:vertAlign w:val="superscript"/>
          <w:lang w:val="en-US"/>
        </w:rPr>
        <w:t>th</w:t>
      </w:r>
      <w:r w:rsidR="00831D75">
        <w:rPr>
          <w:rFonts w:cstheme="minorHAnsi"/>
          <w:lang w:val="en-US"/>
        </w:rPr>
        <w:t xml:space="preserve"> latency percentile and keep the throughput constant.</w:t>
      </w:r>
      <w:r w:rsidR="00E56335">
        <w:rPr>
          <w:rFonts w:cstheme="minorHAnsi"/>
          <w:lang w:val="en-US"/>
        </w:rPr>
        <w:t xml:space="preserve"> We chose a fixed number of threads for the </w:t>
      </w:r>
      <w:r w:rsidR="00C26203">
        <w:rPr>
          <w:rFonts w:cstheme="minorHAnsi"/>
          <w:lang w:val="en-US"/>
        </w:rPr>
        <w:t>workload</w:t>
      </w:r>
      <w:r w:rsidR="00E56335">
        <w:rPr>
          <w:rFonts w:cstheme="minorHAnsi"/>
          <w:lang w:val="en-US"/>
        </w:rPr>
        <w:t xml:space="preserve"> generator @ 10 threads since it was a good balance between the available cores of the machine we were using and the handling of the connections</w:t>
      </w:r>
      <w:r w:rsidR="00C26203">
        <w:rPr>
          <w:rFonts w:cstheme="minorHAnsi"/>
          <w:lang w:val="en-US"/>
        </w:rPr>
        <w:t>. Each test was left to run for 30 seconds</w:t>
      </w:r>
      <w:r w:rsidR="00D00CEF">
        <w:rPr>
          <w:rFonts w:cstheme="minorHAnsi"/>
          <w:lang w:val="en-US"/>
        </w:rPr>
        <w:t xml:space="preserve">. 10 tests were made, each with increasing number of connections (100-1000, increments of 100). </w:t>
      </w:r>
    </w:p>
    <w:p w14:paraId="20D1DBB7" w14:textId="170704DC" w:rsidR="00D00CEF" w:rsidRDefault="00503911" w:rsidP="00503911">
      <w:pPr>
        <w:pStyle w:val="ListParagraph"/>
        <w:ind w:left="1080"/>
        <w:jc w:val="both"/>
        <w:rPr>
          <w:lang w:val="en-US"/>
        </w:rPr>
      </w:pPr>
      <w:r>
        <w:rPr>
          <w:noProof/>
        </w:rPr>
        <w:drawing>
          <wp:inline distT="0" distB="0" distL="0" distR="0" wp14:anchorId="3DA2CA47" wp14:editId="5C3B2508">
            <wp:extent cx="4930775" cy="2657475"/>
            <wp:effectExtent l="0" t="0" r="3175" b="9525"/>
            <wp:docPr id="1" name="Chart 1">
              <a:extLst xmlns:a="http://schemas.openxmlformats.org/drawingml/2006/main">
                <a:ext uri="{FF2B5EF4-FFF2-40B4-BE49-F238E27FC236}">
                  <a16:creationId xmlns:a16="http://schemas.microsoft.com/office/drawing/2014/main" id="{5D49073E-CE1A-5F3C-B9B8-F548DEF3C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522A91" w14:textId="304489F4" w:rsidR="00503911" w:rsidRDefault="002275FE" w:rsidP="00503911">
      <w:pPr>
        <w:pStyle w:val="ListParagraph"/>
        <w:ind w:left="1080"/>
        <w:jc w:val="both"/>
        <w:rPr>
          <w:lang w:val="en-US"/>
        </w:rPr>
      </w:pPr>
      <w:r>
        <w:rPr>
          <w:noProof/>
        </w:rPr>
        <w:drawing>
          <wp:inline distT="0" distB="0" distL="0" distR="0" wp14:anchorId="79BE2F4F" wp14:editId="33B7E121">
            <wp:extent cx="4921250" cy="3073400"/>
            <wp:effectExtent l="0" t="0" r="12700" b="12700"/>
            <wp:docPr id="2" name="Chart 2">
              <a:extLst xmlns:a="http://schemas.openxmlformats.org/drawingml/2006/main">
                <a:ext uri="{FF2B5EF4-FFF2-40B4-BE49-F238E27FC236}">
                  <a16:creationId xmlns:a16="http://schemas.microsoft.com/office/drawing/2014/main" id="{8AF930CD-E39D-20ED-163D-8F135BDFE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C883F1" w14:textId="5F266F63" w:rsidR="00D2356F" w:rsidRPr="002744CB" w:rsidRDefault="00D2356F" w:rsidP="002744CB">
      <w:pPr>
        <w:pStyle w:val="ListParagraph"/>
        <w:ind w:left="1080"/>
        <w:jc w:val="both"/>
        <w:rPr>
          <w:lang w:val="en-US"/>
        </w:rPr>
      </w:pPr>
      <w:r>
        <w:rPr>
          <w:lang w:val="en-US"/>
        </w:rPr>
        <w:t xml:space="preserve">In the microservices implementation of the app, we broke down each major component into a microservice running in a different container. </w:t>
      </w:r>
    </w:p>
    <w:p w14:paraId="506D1CBF" w14:textId="7211A0D5" w:rsidR="002275FE" w:rsidRDefault="002275FE" w:rsidP="00503911">
      <w:pPr>
        <w:pStyle w:val="ListParagraph"/>
        <w:ind w:left="1080"/>
        <w:jc w:val="both"/>
        <w:rPr>
          <w:lang w:val="en-US"/>
        </w:rPr>
      </w:pPr>
      <w:r>
        <w:rPr>
          <w:lang w:val="en-US"/>
        </w:rPr>
        <w:t xml:space="preserve">As we can see, the implementation of the app with microservices results in a significant increase in the latency. </w:t>
      </w:r>
      <w:r w:rsidR="006D1A2C">
        <w:rPr>
          <w:lang w:val="en-US"/>
        </w:rPr>
        <w:t xml:space="preserve">Even at a low number of connections, the latency is almost 10 times greater. </w:t>
      </w:r>
      <w:r w:rsidR="002D2478">
        <w:rPr>
          <w:lang w:val="en-US"/>
        </w:rPr>
        <w:t>At 500 connections, we observed a peek at around 160ms @ 99.999</w:t>
      </w:r>
      <w:r w:rsidR="002D2478" w:rsidRPr="002D2478">
        <w:rPr>
          <w:vertAlign w:val="superscript"/>
          <w:lang w:val="en-US"/>
        </w:rPr>
        <w:t>th</w:t>
      </w:r>
      <w:r w:rsidR="002D2478">
        <w:rPr>
          <w:lang w:val="en-US"/>
        </w:rPr>
        <w:t xml:space="preserve">%. In </w:t>
      </w:r>
      <w:r w:rsidR="002D2478">
        <w:rPr>
          <w:lang w:val="en-US"/>
        </w:rPr>
        <w:lastRenderedPageBreak/>
        <w:t>general, we observed very high latency figures on the 99.999</w:t>
      </w:r>
      <w:r w:rsidR="002D2478" w:rsidRPr="002D2478">
        <w:rPr>
          <w:vertAlign w:val="superscript"/>
          <w:lang w:val="en-US"/>
        </w:rPr>
        <w:t>th</w:t>
      </w:r>
      <w:r w:rsidR="002D2478">
        <w:rPr>
          <w:lang w:val="en-US"/>
        </w:rPr>
        <w:t xml:space="preserve"> percentile except in the cases of 700 and 900 connections. </w:t>
      </w:r>
      <w:r w:rsidR="002744CB">
        <w:rPr>
          <w:lang w:val="en-US"/>
        </w:rPr>
        <w:t xml:space="preserve">A possible explanation of such behavior is that the communication latency between each microservice adds up to </w:t>
      </w:r>
      <w:r w:rsidR="00DA3489">
        <w:rPr>
          <w:lang w:val="en-US"/>
        </w:rPr>
        <w:t xml:space="preserve">the overall latency of the </w:t>
      </w:r>
      <w:r w:rsidR="003B5AF1">
        <w:rPr>
          <w:noProof/>
          <w:lang w:val="en-US"/>
        </w:rPr>
        <mc:AlternateContent>
          <mc:Choice Requires="wps">
            <w:drawing>
              <wp:anchor distT="0" distB="0" distL="114300" distR="114300" simplePos="0" relativeHeight="251661312" behindDoc="0" locked="0" layoutInCell="1" allowOverlap="1" wp14:anchorId="2953FD0C" wp14:editId="2EC21CD0">
                <wp:simplePos x="0" y="0"/>
                <wp:positionH relativeFrom="column">
                  <wp:posOffset>6076950</wp:posOffset>
                </wp:positionH>
                <wp:positionV relativeFrom="paragraph">
                  <wp:posOffset>1590675</wp:posOffset>
                </wp:positionV>
                <wp:extent cx="533400" cy="663575"/>
                <wp:effectExtent l="0" t="0" r="19050" b="22225"/>
                <wp:wrapNone/>
                <wp:docPr id="5" name="Oval 5"/>
                <wp:cNvGraphicFramePr/>
                <a:graphic xmlns:a="http://schemas.openxmlformats.org/drawingml/2006/main">
                  <a:graphicData uri="http://schemas.microsoft.com/office/word/2010/wordprocessingShape">
                    <wps:wsp>
                      <wps:cNvSpPr/>
                      <wps:spPr>
                        <a:xfrm>
                          <a:off x="0" y="0"/>
                          <a:ext cx="533400" cy="663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27CB33" id="Oval 5" o:spid="_x0000_s1026" style="position:absolute;margin-left:478.5pt;margin-top:125.25pt;width:42pt;height:5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" filled="f" strokecolor="red" strokeweight="1pt">
                <v:stroke joinstyle="miter"/>
              </v:oval>
            </w:pict>
          </mc:Fallback>
        </mc:AlternateContent>
      </w:r>
      <w:r w:rsidR="003B5AF1">
        <w:rPr>
          <w:noProof/>
          <w:lang w:val="en-US"/>
        </w:rPr>
        <mc:AlternateContent>
          <mc:Choice Requires="wps">
            <w:drawing>
              <wp:anchor distT="0" distB="0" distL="114300" distR="114300" simplePos="0" relativeHeight="251659264" behindDoc="0" locked="0" layoutInCell="1" allowOverlap="1" wp14:anchorId="26BF1124" wp14:editId="1366AFD8">
                <wp:simplePos x="0" y="0"/>
                <wp:positionH relativeFrom="column">
                  <wp:posOffset>1069975</wp:posOffset>
                </wp:positionH>
                <wp:positionV relativeFrom="paragraph">
                  <wp:posOffset>1587500</wp:posOffset>
                </wp:positionV>
                <wp:extent cx="438150" cy="663575"/>
                <wp:effectExtent l="0" t="0" r="19050" b="22225"/>
                <wp:wrapNone/>
                <wp:docPr id="4" name="Oval 4"/>
                <wp:cNvGraphicFramePr/>
                <a:graphic xmlns:a="http://schemas.openxmlformats.org/drawingml/2006/main">
                  <a:graphicData uri="http://schemas.microsoft.com/office/word/2010/wordprocessingShape">
                    <wps:wsp>
                      <wps:cNvSpPr/>
                      <wps:spPr>
                        <a:xfrm>
                          <a:off x="0" y="0"/>
                          <a:ext cx="438150" cy="663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CAF6D" id="Oval 4" o:spid="_x0000_s1026" style="position:absolute;margin-left:84.25pt;margin-top:125pt;width:34.5pt;height:5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" filled="f" strokecolor="red" strokeweight="1pt">
                <v:stroke joinstyle="miter"/>
              </v:oval>
            </w:pict>
          </mc:Fallback>
        </mc:AlternateContent>
      </w:r>
      <w:r w:rsidR="00DA3489">
        <w:rPr>
          <w:lang w:val="en-US"/>
        </w:rPr>
        <w:t xml:space="preserve">app. </w:t>
      </w:r>
    </w:p>
    <w:p w14:paraId="121C4452" w14:textId="79B4F29F" w:rsidR="009026FB" w:rsidRPr="00503911" w:rsidRDefault="009026FB" w:rsidP="00503911">
      <w:pPr>
        <w:pStyle w:val="ListParagraph"/>
        <w:ind w:left="1080"/>
        <w:jc w:val="both"/>
        <w:rPr>
          <w:lang w:val="en-US"/>
        </w:rPr>
      </w:pPr>
      <w:r>
        <w:rPr>
          <w:noProof/>
        </w:rPr>
        <w:drawing>
          <wp:anchor distT="0" distB="0" distL="114300" distR="114300" simplePos="0" relativeHeight="251658240" behindDoc="0" locked="0" layoutInCell="1" allowOverlap="1" wp14:anchorId="4729E3F7" wp14:editId="015F8614">
            <wp:simplePos x="0" y="0"/>
            <wp:positionH relativeFrom="column">
              <wp:posOffset>-809625</wp:posOffset>
            </wp:positionH>
            <wp:positionV relativeFrom="paragraph">
              <wp:posOffset>73660</wp:posOffset>
            </wp:positionV>
            <wp:extent cx="7425454" cy="1457325"/>
            <wp:effectExtent l="0" t="0" r="4445"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25454" cy="14573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This is a screenshot taken from Jaeger which we used to monitor the </w:t>
      </w:r>
      <w:proofErr w:type="spellStart"/>
      <w:r>
        <w:rPr>
          <w:lang w:val="en-US"/>
        </w:rPr>
        <w:t>gRPC</w:t>
      </w:r>
      <w:proofErr w:type="spellEnd"/>
      <w:r>
        <w:rPr>
          <w:lang w:val="en-US"/>
        </w:rPr>
        <w:t xml:space="preserve">. We can see that the microservice “frontend” takes the most time to complete. In this </w:t>
      </w:r>
      <w:r w:rsidR="005F4F3C">
        <w:rPr>
          <w:lang w:val="en-US"/>
        </w:rPr>
        <w:t>example</w:t>
      </w:r>
      <w:r>
        <w:rPr>
          <w:lang w:val="en-US"/>
        </w:rPr>
        <w:t xml:space="preserve"> we can see the invocation of the microservice </w:t>
      </w:r>
      <w:r w:rsidR="005F4F3C">
        <w:rPr>
          <w:lang w:val="en-US"/>
        </w:rPr>
        <w:t>“</w:t>
      </w:r>
      <w:r>
        <w:rPr>
          <w:lang w:val="en-US"/>
        </w:rPr>
        <w:t>frontend</w:t>
      </w:r>
      <w:r w:rsidR="005F4F3C">
        <w:rPr>
          <w:lang w:val="en-US"/>
        </w:rPr>
        <w:t>”</w:t>
      </w:r>
      <w:r>
        <w:rPr>
          <w:lang w:val="en-US"/>
        </w:rPr>
        <w:t xml:space="preserve"> which in turn called the </w:t>
      </w:r>
      <w:r w:rsidR="003B5AF1">
        <w:rPr>
          <w:lang w:val="en-US"/>
        </w:rPr>
        <w:t>“</w:t>
      </w:r>
      <w:r>
        <w:rPr>
          <w:lang w:val="en-US"/>
        </w:rPr>
        <w:t>geo</w:t>
      </w:r>
      <w:r w:rsidR="003B5AF1">
        <w:rPr>
          <w:lang w:val="en-US"/>
        </w:rPr>
        <w:t>”</w:t>
      </w:r>
      <w:r>
        <w:rPr>
          <w:lang w:val="en-US"/>
        </w:rPr>
        <w:t xml:space="preserve"> microservice and then the </w:t>
      </w:r>
      <w:r w:rsidR="003B5AF1">
        <w:rPr>
          <w:lang w:val="en-US"/>
        </w:rPr>
        <w:t>“</w:t>
      </w:r>
      <w:r>
        <w:rPr>
          <w:lang w:val="en-US"/>
        </w:rPr>
        <w:t>profile</w:t>
      </w:r>
      <w:r w:rsidR="003B5AF1">
        <w:rPr>
          <w:lang w:val="en-US"/>
        </w:rPr>
        <w:t>”</w:t>
      </w:r>
      <w:r>
        <w:rPr>
          <w:lang w:val="en-US"/>
        </w:rPr>
        <w:t xml:space="preserve"> to get the profile for the requested </w:t>
      </w:r>
      <w:r w:rsidR="003B5AF1">
        <w:rPr>
          <w:lang w:val="en-US"/>
        </w:rPr>
        <w:t>“</w:t>
      </w:r>
      <w:r>
        <w:rPr>
          <w:lang w:val="en-US"/>
        </w:rPr>
        <w:t>geo</w:t>
      </w:r>
      <w:r w:rsidR="003B5AF1">
        <w:rPr>
          <w:lang w:val="en-US"/>
        </w:rPr>
        <w:t>”</w:t>
      </w:r>
      <w:r>
        <w:rPr>
          <w:lang w:val="en-US"/>
        </w:rPr>
        <w:t xml:space="preserve"> location. </w:t>
      </w:r>
      <w:r w:rsidR="003B5AF1">
        <w:rPr>
          <w:lang w:val="en-US"/>
        </w:rPr>
        <w:t xml:space="preserve">The two circled regions show the time spent in the RPC while doing nothing. </w:t>
      </w:r>
    </w:p>
    <w:sectPr w:rsidR="009026FB" w:rsidRPr="00503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1277C"/>
    <w:multiLevelType w:val="hybridMultilevel"/>
    <w:tmpl w:val="5560A00C"/>
    <w:lvl w:ilvl="0" w:tplc="50FAF2C0">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40137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4B"/>
    <w:rsid w:val="0002447C"/>
    <w:rsid w:val="001015D6"/>
    <w:rsid w:val="002275FE"/>
    <w:rsid w:val="002744CB"/>
    <w:rsid w:val="002D2478"/>
    <w:rsid w:val="00346B4B"/>
    <w:rsid w:val="003B5AF1"/>
    <w:rsid w:val="00503911"/>
    <w:rsid w:val="005F4F3C"/>
    <w:rsid w:val="006D1A2C"/>
    <w:rsid w:val="00823B60"/>
    <w:rsid w:val="00826FEB"/>
    <w:rsid w:val="00831D75"/>
    <w:rsid w:val="009026FB"/>
    <w:rsid w:val="00C26203"/>
    <w:rsid w:val="00D00CEF"/>
    <w:rsid w:val="00D2356F"/>
    <w:rsid w:val="00D66FCC"/>
    <w:rsid w:val="00DA3489"/>
    <w:rsid w:val="00DB617D"/>
    <w:rsid w:val="00E17462"/>
    <w:rsid w:val="00E56335"/>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D7C4"/>
  <w15:chartTrackingRefBased/>
  <w15:docId w15:val="{66AF5972-C336-402B-A7B7-59408F9B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Monolithic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Sheet1!$B$2</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Sheet1!$B$3:$B$12</c:f>
              <c:numCache>
                <c:formatCode>General</c:formatCode>
                <c:ptCount val="10"/>
                <c:pt idx="0">
                  <c:v>0.56499999999999995</c:v>
                </c:pt>
                <c:pt idx="1">
                  <c:v>0.48899999999999999</c:v>
                </c:pt>
                <c:pt idx="2">
                  <c:v>0.58799999999999997</c:v>
                </c:pt>
                <c:pt idx="3">
                  <c:v>0.66900000000000004</c:v>
                </c:pt>
                <c:pt idx="4">
                  <c:v>0.75800000000000001</c:v>
                </c:pt>
                <c:pt idx="5">
                  <c:v>0.81399999999999995</c:v>
                </c:pt>
                <c:pt idx="6">
                  <c:v>0.629</c:v>
                </c:pt>
                <c:pt idx="7">
                  <c:v>1.1000000000000001</c:v>
                </c:pt>
                <c:pt idx="8">
                  <c:v>1.22</c:v>
                </c:pt>
                <c:pt idx="9">
                  <c:v>1.3</c:v>
                </c:pt>
              </c:numCache>
            </c:numRef>
          </c:val>
          <c:smooth val="0"/>
          <c:extLst>
            <c:ext xmlns:c16="http://schemas.microsoft.com/office/drawing/2014/chart" uri="{C3380CC4-5D6E-409C-BE32-E72D297353CC}">
              <c16:uniqueId val="{00000000-9F8F-4DA2-A121-020A30A7215D}"/>
            </c:ext>
          </c:extLst>
        </c:ser>
        <c:ser>
          <c:idx val="1"/>
          <c:order val="1"/>
          <c:tx>
            <c:strRef>
              <c:f>Sheet1!$C$2</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Sheet1!$C$3:$C$12</c:f>
              <c:numCache>
                <c:formatCode>General</c:formatCode>
                <c:ptCount val="10"/>
                <c:pt idx="0">
                  <c:v>0.75700000000000001</c:v>
                </c:pt>
                <c:pt idx="1">
                  <c:v>0.66400000000000003</c:v>
                </c:pt>
                <c:pt idx="2">
                  <c:v>0.88</c:v>
                </c:pt>
                <c:pt idx="3">
                  <c:v>1.32</c:v>
                </c:pt>
                <c:pt idx="4">
                  <c:v>1.57</c:v>
                </c:pt>
                <c:pt idx="5">
                  <c:v>1.39</c:v>
                </c:pt>
                <c:pt idx="6">
                  <c:v>1.21</c:v>
                </c:pt>
                <c:pt idx="7">
                  <c:v>2.0499999999999998</c:v>
                </c:pt>
                <c:pt idx="8">
                  <c:v>2.95</c:v>
                </c:pt>
                <c:pt idx="9">
                  <c:v>2.62</c:v>
                </c:pt>
              </c:numCache>
            </c:numRef>
          </c:val>
          <c:smooth val="0"/>
          <c:extLst>
            <c:ext xmlns:c16="http://schemas.microsoft.com/office/drawing/2014/chart" uri="{C3380CC4-5D6E-409C-BE32-E72D297353CC}">
              <c16:uniqueId val="{00000001-9F8F-4DA2-A121-020A30A7215D}"/>
            </c:ext>
          </c:extLst>
        </c:ser>
        <c:ser>
          <c:idx val="2"/>
          <c:order val="2"/>
          <c:tx>
            <c:strRef>
              <c:f>Sheet1!$D$2</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Sheet1!$D$3:$D$12</c:f>
              <c:numCache>
                <c:formatCode>General</c:formatCode>
                <c:ptCount val="10"/>
                <c:pt idx="0">
                  <c:v>1.6</c:v>
                </c:pt>
                <c:pt idx="1">
                  <c:v>1.44</c:v>
                </c:pt>
                <c:pt idx="2">
                  <c:v>1.92</c:v>
                </c:pt>
                <c:pt idx="3">
                  <c:v>5.88</c:v>
                </c:pt>
                <c:pt idx="4">
                  <c:v>5.37</c:v>
                </c:pt>
                <c:pt idx="5">
                  <c:v>4.76</c:v>
                </c:pt>
                <c:pt idx="6">
                  <c:v>5.08</c:v>
                </c:pt>
                <c:pt idx="7">
                  <c:v>7.17</c:v>
                </c:pt>
                <c:pt idx="8">
                  <c:v>8.3800000000000008</c:v>
                </c:pt>
                <c:pt idx="9">
                  <c:v>8.9</c:v>
                </c:pt>
              </c:numCache>
            </c:numRef>
          </c:val>
          <c:smooth val="0"/>
          <c:extLst>
            <c:ext xmlns:c16="http://schemas.microsoft.com/office/drawing/2014/chart" uri="{C3380CC4-5D6E-409C-BE32-E72D297353CC}">
              <c16:uniqueId val="{00000002-9F8F-4DA2-A121-020A30A7215D}"/>
            </c:ext>
          </c:extLst>
        </c:ser>
        <c:ser>
          <c:idx val="3"/>
          <c:order val="3"/>
          <c:tx>
            <c:strRef>
              <c:f>Sheet1!$E$2</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Sheet1!$E$3:$E$12</c:f>
              <c:numCache>
                <c:formatCode>General</c:formatCode>
                <c:ptCount val="10"/>
                <c:pt idx="0">
                  <c:v>3.23</c:v>
                </c:pt>
                <c:pt idx="1">
                  <c:v>3.32</c:v>
                </c:pt>
                <c:pt idx="2">
                  <c:v>5.71</c:v>
                </c:pt>
                <c:pt idx="3">
                  <c:v>9.01</c:v>
                </c:pt>
                <c:pt idx="4">
                  <c:v>8.33</c:v>
                </c:pt>
                <c:pt idx="5">
                  <c:v>8.8699999999999992</c:v>
                </c:pt>
                <c:pt idx="6">
                  <c:v>10.11</c:v>
                </c:pt>
                <c:pt idx="7">
                  <c:v>10.9</c:v>
                </c:pt>
                <c:pt idx="8">
                  <c:v>12.43</c:v>
                </c:pt>
                <c:pt idx="9">
                  <c:v>15.09</c:v>
                </c:pt>
              </c:numCache>
            </c:numRef>
          </c:val>
          <c:smooth val="0"/>
          <c:extLst>
            <c:ext xmlns:c16="http://schemas.microsoft.com/office/drawing/2014/chart" uri="{C3380CC4-5D6E-409C-BE32-E72D297353CC}">
              <c16:uniqueId val="{00000003-9F8F-4DA2-A121-020A30A7215D}"/>
            </c:ext>
          </c:extLst>
        </c:ser>
        <c:dLbls>
          <c:showLegendKey val="0"/>
          <c:showVal val="0"/>
          <c:showCatName val="0"/>
          <c:showSerName val="0"/>
          <c:showPercent val="0"/>
          <c:showBubbleSize val="0"/>
        </c:dLbls>
        <c:marker val="1"/>
        <c:smooth val="0"/>
        <c:axId val="674069935"/>
        <c:axId val="781166015"/>
      </c:lineChart>
      <c:catAx>
        <c:axId val="6740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81166015"/>
        <c:crosses val="autoZero"/>
        <c:auto val="1"/>
        <c:lblAlgn val="ctr"/>
        <c:lblOffset val="100"/>
        <c:noMultiLvlLbl val="0"/>
      </c:catAx>
      <c:valAx>
        <c:axId val="78116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67406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Microservices</a:t>
            </a:r>
            <a:r>
              <a:rPr lang="en-US" baseline="0"/>
              <a:t>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Sheet1!$B$16</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Sheet1!$B$17:$B$26</c:f>
              <c:numCache>
                <c:formatCode>General</c:formatCode>
                <c:ptCount val="10"/>
                <c:pt idx="0">
                  <c:v>9.3000000000000007</c:v>
                </c:pt>
                <c:pt idx="1">
                  <c:v>18.22</c:v>
                </c:pt>
                <c:pt idx="2">
                  <c:v>11.19</c:v>
                </c:pt>
                <c:pt idx="3">
                  <c:v>21.09</c:v>
                </c:pt>
                <c:pt idx="4">
                  <c:v>34.53</c:v>
                </c:pt>
                <c:pt idx="5">
                  <c:v>13.52</c:v>
                </c:pt>
                <c:pt idx="6">
                  <c:v>16.37</c:v>
                </c:pt>
                <c:pt idx="7">
                  <c:v>20.38</c:v>
                </c:pt>
                <c:pt idx="8">
                  <c:v>19.61</c:v>
                </c:pt>
                <c:pt idx="9">
                  <c:v>55.39</c:v>
                </c:pt>
              </c:numCache>
            </c:numRef>
          </c:val>
          <c:smooth val="0"/>
          <c:extLst>
            <c:ext xmlns:c16="http://schemas.microsoft.com/office/drawing/2014/chart" uri="{C3380CC4-5D6E-409C-BE32-E72D297353CC}">
              <c16:uniqueId val="{00000000-371E-4249-90D9-84267001F848}"/>
            </c:ext>
          </c:extLst>
        </c:ser>
        <c:ser>
          <c:idx val="1"/>
          <c:order val="1"/>
          <c:tx>
            <c:strRef>
              <c:f>Sheet1!$C$16</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Sheet1!$C$17:$C$26</c:f>
              <c:numCache>
                <c:formatCode>General</c:formatCode>
                <c:ptCount val="10"/>
                <c:pt idx="0">
                  <c:v>12.06</c:v>
                </c:pt>
                <c:pt idx="1">
                  <c:v>22.43</c:v>
                </c:pt>
                <c:pt idx="2">
                  <c:v>15.04</c:v>
                </c:pt>
                <c:pt idx="3">
                  <c:v>27.97</c:v>
                </c:pt>
                <c:pt idx="4">
                  <c:v>42.59</c:v>
                </c:pt>
                <c:pt idx="5">
                  <c:v>17.39</c:v>
                </c:pt>
                <c:pt idx="6">
                  <c:v>23.74</c:v>
                </c:pt>
                <c:pt idx="7">
                  <c:v>34.11</c:v>
                </c:pt>
                <c:pt idx="8">
                  <c:v>38.81</c:v>
                </c:pt>
                <c:pt idx="9">
                  <c:v>77.569999999999993</c:v>
                </c:pt>
              </c:numCache>
            </c:numRef>
          </c:val>
          <c:smooth val="0"/>
          <c:extLst>
            <c:ext xmlns:c16="http://schemas.microsoft.com/office/drawing/2014/chart" uri="{C3380CC4-5D6E-409C-BE32-E72D297353CC}">
              <c16:uniqueId val="{00000001-371E-4249-90D9-84267001F848}"/>
            </c:ext>
          </c:extLst>
        </c:ser>
        <c:ser>
          <c:idx val="2"/>
          <c:order val="2"/>
          <c:tx>
            <c:strRef>
              <c:f>Sheet1!$D$16</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Sheet1!$D$17:$D$26</c:f>
              <c:numCache>
                <c:formatCode>General</c:formatCode>
                <c:ptCount val="10"/>
                <c:pt idx="0">
                  <c:v>40.130000000000003</c:v>
                </c:pt>
                <c:pt idx="1">
                  <c:v>51.58</c:v>
                </c:pt>
                <c:pt idx="2">
                  <c:v>47.87</c:v>
                </c:pt>
                <c:pt idx="3">
                  <c:v>73.28</c:v>
                </c:pt>
                <c:pt idx="4">
                  <c:v>105.66</c:v>
                </c:pt>
                <c:pt idx="5">
                  <c:v>92.74</c:v>
                </c:pt>
                <c:pt idx="6">
                  <c:v>36.799999999999997</c:v>
                </c:pt>
                <c:pt idx="7">
                  <c:v>92.61</c:v>
                </c:pt>
                <c:pt idx="8">
                  <c:v>54.08</c:v>
                </c:pt>
                <c:pt idx="9">
                  <c:v>105.28</c:v>
                </c:pt>
              </c:numCache>
            </c:numRef>
          </c:val>
          <c:smooth val="0"/>
          <c:extLst>
            <c:ext xmlns:c16="http://schemas.microsoft.com/office/drawing/2014/chart" uri="{C3380CC4-5D6E-409C-BE32-E72D297353CC}">
              <c16:uniqueId val="{00000002-371E-4249-90D9-84267001F848}"/>
            </c:ext>
          </c:extLst>
        </c:ser>
        <c:ser>
          <c:idx val="3"/>
          <c:order val="3"/>
          <c:tx>
            <c:strRef>
              <c:f>Sheet1!$E$16</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Sheet1!$E$17:$E$26</c:f>
              <c:numCache>
                <c:formatCode>General</c:formatCode>
                <c:ptCount val="10"/>
                <c:pt idx="0">
                  <c:v>100.61</c:v>
                </c:pt>
                <c:pt idx="1">
                  <c:v>115.97</c:v>
                </c:pt>
                <c:pt idx="2">
                  <c:v>102.01</c:v>
                </c:pt>
                <c:pt idx="3">
                  <c:v>123.9</c:v>
                </c:pt>
                <c:pt idx="4">
                  <c:v>162.43</c:v>
                </c:pt>
                <c:pt idx="5">
                  <c:v>135.29</c:v>
                </c:pt>
                <c:pt idx="6">
                  <c:v>48.35</c:v>
                </c:pt>
                <c:pt idx="7">
                  <c:v>125.63</c:v>
                </c:pt>
                <c:pt idx="8">
                  <c:v>60.86</c:v>
                </c:pt>
                <c:pt idx="9">
                  <c:v>117.57</c:v>
                </c:pt>
              </c:numCache>
            </c:numRef>
          </c:val>
          <c:smooth val="0"/>
          <c:extLst>
            <c:ext xmlns:c16="http://schemas.microsoft.com/office/drawing/2014/chart" uri="{C3380CC4-5D6E-409C-BE32-E72D297353CC}">
              <c16:uniqueId val="{00000003-371E-4249-90D9-84267001F848}"/>
            </c:ext>
          </c:extLst>
        </c:ser>
        <c:dLbls>
          <c:showLegendKey val="0"/>
          <c:showVal val="0"/>
          <c:showCatName val="0"/>
          <c:showSerName val="0"/>
          <c:showPercent val="0"/>
          <c:showBubbleSize val="0"/>
        </c:dLbls>
        <c:marker val="1"/>
        <c:smooth val="0"/>
        <c:axId val="791354895"/>
        <c:axId val="791353231"/>
      </c:lineChart>
      <c:catAx>
        <c:axId val="791354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91353231"/>
        <c:crosses val="autoZero"/>
        <c:auto val="1"/>
        <c:lblAlgn val="ctr"/>
        <c:lblOffset val="100"/>
        <c:noMultiLvlLbl val="0"/>
      </c:catAx>
      <c:valAx>
        <c:axId val="791353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91354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Stylianos Sofokleous</dc:creator>
  <cp:keywords/>
  <dc:description/>
  <cp:lastModifiedBy>Stylianos Sofokleous</cp:lastModifiedBy>
  <cp:revision>15</cp:revision>
  <dcterms:created xsi:type="dcterms:W3CDTF">2022-11-19T10:55:00Z</dcterms:created>
  <dcterms:modified xsi:type="dcterms:W3CDTF">2022-11-20T13:04:00Z</dcterms:modified>
</cp:coreProperties>
</file>