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TECHNICAL DOCUMENTATION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How the SOP Chatbot Works — Data Flow, Models &amp; Timing</w:t>
      </w:r>
    </w:p>
    <w:p>
      <w:pPr>
        <w:pStyle w:val="Heading1"/>
        <w:shd w:fill="1F4E79" w:val="clear"/>
        <w:spacing w:after="180" w:before="380"/>
      </w:pPr>
      <w:r>
        <w:rPr>
          <w:rFonts w:ascii="Calibri" w:cs="Calibri" w:eastAsia="Calibri" w:hAnsi="Calibri"/>
          <w:b/>
          <w:bCs/>
          <w:color w:val="FFFFFF"/>
          <w:sz w:val="27"/>
          <w:szCs w:val="27"/>
        </w:rPr>
        <w:t xml:space="preserve">Overview</w:t>
      </w:r>
    </w:p>
    <w:p>
      <w:pPr>
        <w:spacing w:after="150" w:line="30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This document explains, step by step, exactly what happens inside the chatbot — from the moment an SOP file is uploaded, to the moment an employee's question turns into an answer.</w:t>
      </w:r>
    </w:p>
    <w:tbl>
      <w:tblPr>
        <w:tblW w:type="pct" w:w="100%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/>
          <w:insideV w:val="none"/>
        </w:tblBorders>
      </w:tblPr>
      <w:tblGrid>
        <w:gridCol w:w="100"/>
      </w:tblGrid>
      <w:tr>
        <w:tc>
          <w:tcPr>
            <w:shd w:fill="EAF1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In one sentence</w:t>
            </w:r>
          </w:p>
          <w:p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The SOP is chopped into small pieces, each piece is turned into a searchable “fingerprint,” and when someone asks a question, the system finds the closest-matching pieces and hands only those to a local AI model to write the final answer.</w:t>
            </w:r>
          </w:p>
        </w:tc>
      </w:tr>
    </w:tbl>
    <w:p>
      <w:pPr>
        <w:spacing w:after="200" w:before="200"/>
        <w:jc w:val="center"/>
      </w:pPr>
      <w:r>
        <w:drawing>
          <wp:inline distT="0" distB="0" distL="0" distR="0">
            <wp:extent cx="4381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1: Overall flow — data gets chunked and turned into embeddings stored in a database, then the user's question goes through that same database before reaching the LLM.</w:t>
      </w:r>
    </w:p>
    <w:p>
      <w:pPr>
        <w:pStyle w:val="Heading1"/>
        <w:shd w:fill="1F4E79" w:val="clear"/>
        <w:spacing w:after="180" w:before="380"/>
      </w:pPr>
      <w:r>
        <w:rPr>
          <w:rFonts w:ascii="Calibri" w:cs="Calibri" w:eastAsia="Calibri" w:hAnsi="Calibri"/>
          <w:b/>
          <w:bCs/>
          <w:color w:val="FFFFFF"/>
          <w:sz w:val="27"/>
          <w:szCs w:val="27"/>
        </w:rPr>
        <w:t xml:space="preserve">1. Data Upload &amp; Processing (Ingestion Pipeline)</w:t>
      </w:r>
    </w:p>
    <w:p>
      <w:pPr>
        <w:spacing w:after="150" w:line="30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This is the one-time (or whenever a document changes) process of adding an SOP into the system.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Upload: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You upload your SOP document (such as a PDF containing both text and images) through the UI.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Separation: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The backend first reads and separates the normal text from the images inside the document.</w:t>
      </w:r>
    </w:p>
    <w:p>
      <w:pPr>
        <w:spacing w:after="150" w:line="30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Chunking (breaking it down):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Text: The normal text is broken down into smaller paragraphs (chunks) based on headings and semantic meaning.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Images: The extracted images are sent to the qwen2.5vl:7b model. The model looks at the image and describes what is written or shown in it (captioning). This caption is then converted into a new “text chunk.”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Embedding (converting to vectors):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All the text chunks (both the regular text and the image captions) are passed through the nomic-embed-text model, which converts them into number arrays known as vectors.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Saving to Database: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All these vectors, along with their original text, are saved into a vector database named ChromaDB (stored locally on the computer in a folder named chroma_db/).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E86AB"/>
          <w:sz w:val="23"/>
          <w:szCs w:val="23"/>
        </w:rPr>
        <w:t xml:space="preserve">How Long This Takes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  <w:tblLayout w:type="fixed"/>
      </w:tblPr>
      <w:tblGrid>
        <w:gridCol w:w="5000"/>
        <w:gridCol w:w="4000"/>
      </w:tblGrid>
      <w:tr>
        <w:trPr>
          <w:tblHeader/>
        </w:trPr>
        <w:tc>
          <w:tcPr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Approximate Time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 typical text-only SOP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3–8 seconds</w:t>
            </w:r>
          </w:p>
        </w:tc>
      </w:tr>
      <w:tr>
        <w:tc>
          <w:tcPr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Each image inside the SOP (added on top)</w:t>
            </w:r>
          </w:p>
        </w:tc>
        <w:tc>
          <w:tcPr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+5–15 seconds per image</w:t>
            </w:r>
          </w:p>
        </w:tc>
      </w:tr>
    </w:tbl>
    <w:p>
      <w:pPr>
        <w:spacing w:before="240"/>
      </w:pPr>
    </w:p>
    <w:p>
      <w:pPr>
        <w:pStyle w:val="Heading1"/>
        <w:shd w:fill="1F4E79" w:val="clear"/>
        <w:spacing w:after="180" w:before="380"/>
      </w:pPr>
      <w:r>
        <w:rPr>
          <w:rFonts w:ascii="Calibri" w:cs="Calibri" w:eastAsia="Calibri" w:hAnsi="Calibri"/>
          <w:b/>
          <w:bCs/>
          <w:color w:val="FFFFFF"/>
          <w:sz w:val="27"/>
          <w:szCs w:val="27"/>
        </w:rPr>
        <w:t xml:space="preserve">2. Asking Questions &amp; Getting Answers (Query Pipeline)</w:t>
      </w:r>
    </w:p>
    <w:p>
      <w:pPr>
        <w:spacing w:after="150" w:line="30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This happens live, every time an employee asks a question.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User Question: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You type a question in the chatbot — for example: “What is the leave policy in the SOP?”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Query Embedding: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Your question is also sent to the nomic-embed-text model, where it gets converted into vectors.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Search in ChromaDB: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The system searches ChromaDB to find which SOP chunk vectors closely match the vector of your question (this search uses a combination of vector similarity and keyword matching).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Top Matches: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The database retrieves the top 3 best-matching chunks (which could be normal text or an image caption).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LLM + SOP Answer: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Finally, the system takes your question and those top 3 SOP chunks, and sends them to the main LLM (qwen2.5vl:7b). The LLM reads only those specific SOP chunks, generates an accurate answer, and displays the result to you.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E86AB"/>
          <w:sz w:val="23"/>
          <w:szCs w:val="23"/>
        </w:rPr>
        <w:t xml:space="preserve">How Long This Takes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  <w:tblLayout w:type="fixed"/>
      </w:tblPr>
      <w:tblGrid>
        <w:gridCol w:w="4600"/>
        <w:gridCol w:w="4400"/>
      </w:tblGrid>
      <w:tr>
        <w:trPr>
          <w:tblHeader/>
        </w:trPr>
        <w:tc>
          <w:tcPr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Approximate Time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Retrieval (search + fusion + rerank)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0.3–0.8 seconds</w:t>
            </w:r>
          </w:p>
        </w:tc>
      </w:tr>
      <w:tr>
        <w:tc>
          <w:tcPr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AI model generating the answer — on GPU</w:t>
            </w:r>
          </w:p>
        </w:tc>
        <w:tc>
          <w:tcPr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2–6 seconds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AI model generating the answer — on CPU only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10–40 seconds</w:t>
            </w:r>
          </w:p>
        </w:tc>
      </w:tr>
      <w:tr>
        <w:tc>
          <w:tcPr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Fallback path (confidence too low, AI skipped)</w:t>
            </w:r>
          </w:p>
        </w:tc>
        <w:tc>
          <w:tcPr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0.3–0.5 seconds</w:t>
            </w:r>
          </w:p>
        </w:tc>
      </w:tr>
    </w:tbl>
    <w:p>
      <w:pPr>
        <w:spacing w:before="240"/>
      </w:pPr>
    </w:p>
    <w:p>
      <w:pPr>
        <w:pStyle w:val="Heading1"/>
        <w:shd w:fill="1F4E79" w:val="clear"/>
        <w:spacing w:after="180" w:before="380"/>
      </w:pPr>
      <w:r>
        <w:rPr>
          <w:rFonts w:ascii="Calibri" w:cs="Calibri" w:eastAsia="Calibri" w:hAnsi="Calibri"/>
          <w:b/>
          <w:bCs/>
          <w:color w:val="FFFFFF"/>
          <w:sz w:val="27"/>
          <w:szCs w:val="27"/>
        </w:rPr>
        <w:t xml:space="preserve">3. Why These Specific Models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E86AB"/>
          <w:sz w:val="23"/>
          <w:szCs w:val="23"/>
        </w:rPr>
        <w:t xml:space="preserve">qwen2.5vl:7b (the answering model)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Vision-capable — it can read both text and images with one single model, which is why it also handles the image captioning in Part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7B size — large enough to write good-quality, natural answers, while still small enough to run comfortably on a local GPU.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Fully offline — runs entirely on local hardware via Ollama, no cloud API, no internet dependency at runtime.</w:t>
      </w:r>
    </w:p>
    <w:tbl>
      <w:tblPr>
        <w:tblW w:type="pct" w:w="100%"/>
        <w:tblBorders>
          <w:top w:val="single" w:color="2E86AB" w:sz="4"/>
          <w:left w:val="single" w:color="2E86AB" w:sz="4"/>
          <w:bottom w:val="single" w:color="2E86AB" w:sz="4"/>
          <w:right w:val="single" w:color="2E86AB" w:sz="4"/>
          <w:insideH w:val="none"/>
          <w:insideV w:val="none"/>
        </w:tblBorders>
      </w:tblPr>
      <w:tblGrid>
        <w:gridCol w:w="100"/>
      </w:tblGrid>
      <w:tr>
        <w:tc>
          <w:tcPr>
            <w:shd w:fill="EAF1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22"/>
                <w:szCs w:val="22"/>
              </w:rPr>
              <w:t xml:space="preserve">Why not a bigger, “smarter” model?</w:t>
            </w:r>
          </w:p>
          <w:p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A larger model (13B, 30B, 70B+) is more capable at independent reasoning — solving novel problems, drawing its own conclusions, handling open-ended tasks it wasn't directly told the answer to. But that's not this model's job here. By the time qwen2.5vl:7b receives a request, the actual answer has already been found and handed to it (Part 2 above) — its only task is to read the retrieved SOP chunk(s) and restructure that into a clear, natural sentence. That's a structuring/rephrasing task, not a reasoning task, so a bigger model wouldn't produce a more correct answer — it would just cost more GPU memory and run slower for no real gain. The intelligence bottleneck in this system is retrieval accuracy, not the language model's raw capability.</w:t>
            </w:r>
          </w:p>
        </w:tc>
      </w:tr>
    </w:tbl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E86AB"/>
          <w:sz w:val="23"/>
          <w:szCs w:val="23"/>
        </w:rPr>
        <w:t xml:space="preserve">nomic-embed-text (the search/embedding model)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Runs locally, alongside the other models, no separate service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Produces 768-dimensional embeddings — a size that balances search accuracy against speed and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Purpose-built for retrieval quality, which is exactly what the ingestion and search steps above depend on.</w:t>
      </w:r>
    </w:p>
    <w:p>
      <w:pPr>
        <w:pStyle w:val="Heading1"/>
        <w:shd w:fill="1F4E79" w:val="clear"/>
        <w:spacing w:after="180" w:before="380"/>
      </w:pPr>
      <w:r>
        <w:rPr>
          <w:rFonts w:ascii="Calibri" w:cs="Calibri" w:eastAsia="Calibri" w:hAnsi="Calibri"/>
          <w:b/>
          <w:bCs/>
          <w:color w:val="FFFFFF"/>
          <w:sz w:val="27"/>
          <w:szCs w:val="27"/>
        </w:rPr>
        <w:t xml:space="preserve">4. Databases Used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  <w:tblLayout w:type="fixed"/>
      </w:tblPr>
      <w:tblGrid>
        <w:gridCol w:w="3000"/>
        <w:gridCol w:w="6000"/>
      </w:tblGrid>
      <w:tr>
        <w:trPr>
          <w:tblHeader/>
        </w:trPr>
        <w:tc>
          <w:tcPr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Stores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ChromaDB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The SOP chunks and their embeddings (vectors) — this is what powers the meaning-based search.</w:t>
            </w:r>
          </w:p>
        </w:tc>
      </w:tr>
      <w:tr>
        <w:tc>
          <w:tcPr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SQLite (default) or MySQL</w:t>
            </w:r>
          </w:p>
        </w:tc>
        <w:tc>
          <w:tcPr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Regular application data: which SOPs exist, chat history, and uploaded file records — the normal, structured data any app needs.</w:t>
            </w:r>
          </w:p>
        </w:tc>
      </w:tr>
    </w:tbl>
    <w:p>
      <w:pPr>
        <w:spacing w:before="240"/>
      </w:pPr>
    </w:p>
    <w:p>
      <w:pPr>
        <w:spacing w:after="150" w:line="30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These two databases work side by side, each doing the job it's actually good at — ChromaDB for meaning-based search, SQLite/MySQL for everything else.</w:t>
      </w:r>
    </w:p>
    <w:p>
      <w:pPr>
        <w:pStyle w:val="Heading1"/>
        <w:shd w:fill="1F4E79" w:val="clear"/>
        <w:spacing w:after="180" w:before="380"/>
      </w:pPr>
      <w:r>
        <w:rPr>
          <w:rFonts w:ascii="Calibri" w:cs="Calibri" w:eastAsia="Calibri" w:hAnsi="Calibri"/>
          <w:b/>
          <w:bCs/>
          <w:color w:val="FFFFFF"/>
          <w:sz w:val="27"/>
          <w:szCs w:val="27"/>
        </w:rPr>
        <w:t xml:space="preserve">5. Why an Offline LLM — Advantages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No data leaves the building — SOP content, employee questions, and chat history all stay on local/company hardware. Nothing is ever sent to an external AI company's servers.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No per-query cost — once the hardware is set up, there's no ongoing API bill per question asked, unlike cloud AI services that charge per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Works without internet — the chatbot keeps functioning even if the company's internet connection goes down, since everything runs locally.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Full control over the model — the exact model version stays fixed until deliberately updated; it won't silently change behavior the way a cloud API might after a provider-side update.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Reduced compliance risk — for sensitive internal processes (approvals, policy exceptions, security procedures), keeping the data entirely in-house avoids the legal/compliance questions that come with sending internal documents to a third-party cloud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Predictable, auditable behavior — combined with the confidence-threshold fallback, the system has a clear, inspectable rule for when it answers versus when it says “I don't know” — nothing is hidden inside a black-box external API.</w:t>
      </w:r>
    </w:p>
    <w:p>
      <w:pPr>
        <w:pStyle w:val="Heading1"/>
        <w:shd w:fill="1F4E79" w:val="clear"/>
        <w:spacing w:after="180" w:before="380"/>
      </w:pPr>
      <w:r>
        <w:rPr>
          <w:rFonts w:ascii="Calibri" w:cs="Calibri" w:eastAsia="Calibri" w:hAnsi="Calibri"/>
          <w:b/>
          <w:bCs/>
          <w:color w:val="FFFFFF"/>
          <w:sz w:val="27"/>
          <w:szCs w:val="27"/>
        </w:rPr>
        <w:t xml:space="preserve">6. Hallucination Prevention (Still Working On It) — How We Stop the AI From Making Things Up</w:t>
      </w:r>
    </w:p>
    <w:p>
      <w:pPr>
        <w:spacing w:after="150" w:line="30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This is the single biggest risk with any AI chatbot: the model confidently saying something that isn't true. Below are the seven mechanisms already built into the code (rag-service/main.py) that work together to prevent this.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Confidence threshold gate (0.45) — if the best-matching chunk's confidence score is below 0.45, the LLM is never called at all. The system returns a direct fallback message instead. main.py:482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Strict EXTRACTOR system prompt — the model is explicitly instructed to answer only from the given SOP context, never use outside knowledge, quote values verbatim, always give a source line, and say the fallback message if the answer isn't present. main.py:38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Low temperature (0.2) + top_p (0.9) — these settings remove the model's freedom to “guess” or get creative; it stays in a strict fact-extraction mode instead. main.py:517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Max 512 token cap — the answer length is capped, so the model can't ramble on into unrelated territory the longer it talks. main.py:519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Context-first prompting — the model only ever sees the top 3 retrieved chunks plus the question, never the full SOP library. That handed-over context is the entire source of truth for the answer.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Hybrid retrieval (vector + BM25 + RRF fusion + cross-encoder rerank) — by finding the genuinely correct chunks in the first place, the model is never put in a position where it needs to invent something to fill a gap.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Query expansion — expanding abbreviations (“PTO” → “paid time off leave”) before searching reduces search misses, which means more relevant chunks reach the model to begin with.</w:t>
      </w:r>
    </w:p>
    <w:tbl>
      <w:tblPr>
        <w:tblW w:type="pct" w:w="100%"/>
        <w:tblBorders>
          <w:top w:val="single" w:color="2E86AB" w:sz="4"/>
          <w:left w:val="single" w:color="2E86AB" w:sz="4"/>
          <w:bottom w:val="single" w:color="2E86AB" w:sz="4"/>
          <w:right w:val="single" w:color="2E86AB" w:sz="4"/>
          <w:insideH w:val="none"/>
          <w:insideV w:val="none"/>
        </w:tblBorders>
      </w:tblPr>
      <w:tblGrid>
        <w:gridCol w:w="100"/>
      </w:tblGrid>
      <w:tr>
        <w:tc>
          <w:tcPr>
            <w:shd w:fill="EAF1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22"/>
                <w:szCs w:val="22"/>
              </w:rPr>
              <w:t xml:space="preserve">Why seven layers instead of one</w:t>
            </w:r>
          </w:p>
          <w:p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No single safeguard is perfect on its own — a confidence threshold can still let through a borderline-relevant chunk, and a system prompt alone can still be occasionally ignored by a model. Stacking multiple independent layers means a failure in one is usually caught by another. This is an ongoing area of work — these seven are what's implemented today, not a finished, closed list.</w:t>
            </w:r>
          </w:p>
        </w:tc>
      </w:tr>
    </w:tbl>
    <w:p>
      <w:pPr>
        <w:pStyle w:val="Heading1"/>
        <w:shd w:fill="1F4E79" w:val="clear"/>
        <w:spacing w:after="180" w:before="380"/>
      </w:pPr>
      <w:r>
        <w:rPr>
          <w:rFonts w:ascii="Calibri" w:cs="Calibri" w:eastAsia="Calibri" w:hAnsi="Calibri"/>
          <w:b/>
          <w:bCs/>
          <w:color w:val="FFFFFF"/>
          <w:sz w:val="27"/>
          <w:szCs w:val="27"/>
        </w:rPr>
        <w:t xml:space="preserve">7. Hardware Specifications Needed</w:t>
      </w:r>
    </w:p>
    <w:p>
      <w:pPr>
        <w:spacing w:after="150" w:line="30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Since this runs on real infrastructure (not a demo laptop), hardware should be sized to expected usage — how many employees may use the chatbot at the same time.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  <w:tblLayout w:type="fixed"/>
      </w:tblPr>
      <w:tblGrid>
        <w:gridCol w:w="1800"/>
        <w:gridCol w:w="1400"/>
        <w:gridCol w:w="2600"/>
        <w:gridCol w:w="3200"/>
      </w:tblGrid>
      <w:tr>
        <w:trPr>
          <w:tblHeader/>
        </w:trPr>
        <w:tc>
          <w:tcPr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GPU VRAM</w:t>
            </w:r>
          </w:p>
        </w:tc>
        <w:tc>
          <w:tcPr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Cards</w:t>
            </w:r>
          </w:p>
        </w:tc>
        <w:tc>
          <w:tcPr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Suitable For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Minimum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6 GB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RTX 3060 (6GB), RTX 4050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Both models running, fits tightly — fine for a pilot or a single concurrent user.</w:t>
            </w:r>
          </w:p>
        </w:tc>
      </w:tr>
      <w:tr>
        <w:tc>
          <w:tcPr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Recommended</w:t>
            </w:r>
          </w:p>
        </w:tc>
        <w:tc>
          <w:tcPr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8–12 GB</w:t>
            </w:r>
          </w:p>
        </w:tc>
        <w:tc>
          <w:tcPr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RTX 3060 (12GB), RTX 4060 Ti, RTX A2000</w:t>
            </w:r>
          </w:p>
        </w:tc>
        <w:tc>
          <w:tcPr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Comfortable headroom, a handful of concurrent users.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Production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16 GB+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RTX 4080, RTX A4000, L4, A10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Multiple concurrent employees, room to upgrade models later.</w:t>
            </w:r>
          </w:p>
        </w:tc>
      </w:tr>
    </w:tbl>
    <w:p>
      <w:pPr>
        <w:spacing w:before="2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System RAM: 16 GB minimum, 32 GB comfortable — mainly for the OS, the databases, and the retrieval pipeline, not the LLM itself (that lives in VRAM).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Disk: 20–30 GB free for model weights, ChromaDB storage, and SOP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OS: Linux (Ubuntu) is the standard choice for production; Windows Server also works via Ollama.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 GPU is strongly recommended, not optional — recall from Part 2 that CPU-only answer generation takes 10–40 seconds versus 2–6 seconds on a GPU.</w:t>
      </w:r>
    </w:p>
    <w:p>
      <w:pPr>
        <w:pStyle w:val="Heading1"/>
        <w:shd w:fill="1F4E79" w:val="clear"/>
        <w:spacing w:after="180" w:before="380"/>
      </w:pPr>
      <w:r>
        <w:rPr>
          <w:rFonts w:ascii="Calibri" w:cs="Calibri" w:eastAsia="Calibri" w:hAnsi="Calibri"/>
          <w:b/>
          <w:bCs/>
          <w:color w:val="FFFFFF"/>
          <w:sz w:val="27"/>
          <w:szCs w:val="27"/>
        </w:rPr>
        <w:t xml:space="preserve">8. End-to-End Summary</w:t>
      </w:r>
    </w:p>
    <w:p>
      <w:pPr>
        <w:spacing w:after="150" w:line="30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Putting it all together, here is the complete journey from a raw SOP file to an employee getting an answer: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SOP file uploaded → text and images separated → text split into chunks, images captioned by qwen2.5vl:7b → all chunks embedded (768-dim) → stored in ChromaDB.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Employee asks a question → question embedded → ChromaDB searched (vector + keyword) → top 3 matching chunks retrieved.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Question + top 3 chunks sent to qwen2.5vl:7b, which answers using only that content.</w:t>
      </w:r>
    </w:p>
    <w:tbl>
      <w:tblPr>
        <w:tblW w:type="pct" w:w="100%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/>
          <w:insideV w:val="none"/>
        </w:tblBorders>
      </w:tblPr>
      <w:tblGrid>
        <w:gridCol w:w="100"/>
      </w:tblGrid>
      <w:tr>
        <w:tc>
          <w:tcPr>
            <w:shd w:fill="EAF1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Bottom Line</w:t>
            </w:r>
          </w:p>
          <w:p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End-to-end, a typical answered question takes roughly 2–7 seconds on a GPU (well under 1 second of that is search — the rest is the AI writing the reply), and a typical new SOP takes a few seconds to a couple of minutes to fully process, depending on how many images it contains.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SOP Chatbot — Technical Documentation</w:t>
    </w:r>
    <w:r>
      <w:rPr>
        <w:rFonts w:ascii="Calibri" w:cs="Calibri" w:eastAsia="Calibri" w:hAnsi="Calibri"/>
        <w:color w:val="595959"/>
        <w:sz w:val="16"/>
        <w:szCs w:val="16"/>
      </w:rPr>
      <w:t xml:space="preserve">	How It Works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a833deb32943658e22a6873681785954cd74bf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2026-08-18T11:26:00.073Z</dcterms:created>
  <dcterms:modified xsi:type="dcterms:W3CDTF">2026-08-18T11:26:00.087Z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