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B1DB7">
      <w:pPr>
        <w:spacing w:after="80"/>
        <w:jc w:val="left"/>
      </w:pPr>
      <w:r>
        <w:rPr>
          <w:rFonts w:ascii="Calibri" w:hAnsi="Calibri" w:eastAsia="Calibri" w:cs="Calibri"/>
          <w:b/>
          <w:bCs/>
          <w:sz w:val="40"/>
          <w:szCs w:val="40"/>
        </w:rPr>
        <w:t>Lab 1 Report: AI Foundations</w:t>
      </w:r>
    </w:p>
    <w:p w14:paraId="22E1C705">
      <w:pPr>
        <w:spacing w:after="120"/>
      </w:pPr>
      <w:r>
        <w:rPr>
          <w:rFonts w:ascii="Calibri" w:hAnsi="Calibri" w:eastAsia="Calibri" w:cs="Calibri"/>
        </w:rPr>
        <w:t>Historical timeline, a transparent rule-based eligibility system, and the limits of the conversational test</w:t>
      </w:r>
    </w:p>
    <w:p w14:paraId="2CE9DDDE">
      <w:pPr>
        <w:spacing w:after="120"/>
      </w:pPr>
      <w:r>
        <w:rPr>
          <w:rFonts w:ascii="Calibri" w:hAnsi="Calibri" w:eastAsia="Calibri" w:cs="Calibri"/>
          <w:b/>
          <w:bCs/>
        </w:rPr>
        <w:t xml:space="preserve">Name / ID: </w:t>
      </w:r>
      <w:r>
        <w:rPr>
          <w:rFonts w:ascii="Calibri" w:hAnsi="Calibri" w:eastAsia="Calibri" w:cs="Calibri"/>
        </w:rPr>
        <w:t>[</w:t>
      </w:r>
      <w:r>
        <w:rPr>
          <w:rFonts w:hint="default" w:cs="Calibri"/>
          <w:lang w:val="en-US"/>
        </w:rPr>
        <w:t>Hamza Hakam</w:t>
      </w:r>
      <w:r>
        <w:rPr>
          <w:rFonts w:ascii="Calibri" w:hAnsi="Calibri" w:eastAsia="Calibri" w:cs="Calibri"/>
        </w:rPr>
        <w:t xml:space="preserve">]     </w:t>
      </w:r>
      <w:r>
        <w:rPr>
          <w:rFonts w:ascii="Calibri" w:hAnsi="Calibri" w:eastAsia="Calibri" w:cs="Calibri"/>
          <w:b/>
          <w:bCs/>
        </w:rPr>
        <w:t xml:space="preserve">Course: </w:t>
      </w:r>
      <w:r>
        <w:rPr>
          <w:rFonts w:ascii="Calibri" w:hAnsi="Calibri" w:eastAsia="Calibri" w:cs="Calibri"/>
        </w:rPr>
        <w:t>[</w:t>
      </w:r>
      <w:r>
        <w:rPr>
          <w:rFonts w:hint="default" w:cs="Calibri"/>
          <w:lang w:val="en-US"/>
        </w:rPr>
        <w:t>BSAI-3E</w:t>
      </w:r>
      <w:r>
        <w:rPr>
          <w:rFonts w:ascii="Calibri" w:hAnsi="Calibri" w:eastAsia="Calibri" w:cs="Calibri"/>
        </w:rPr>
        <w:t xml:space="preserve">]     </w:t>
      </w:r>
      <w:r>
        <w:rPr>
          <w:rFonts w:ascii="Calibri" w:hAnsi="Calibri" w:eastAsia="Calibri" w:cs="Calibri"/>
          <w:b/>
          <w:bCs/>
        </w:rPr>
        <w:t xml:space="preserve">Repository: </w:t>
      </w:r>
      <w:r>
        <w:rPr>
          <w:rFonts w:ascii="Calibri" w:hAnsi="Calibri" w:eastAsia="Calibri" w:cs="Calibri"/>
        </w:rPr>
        <w:t>[</w:t>
      </w:r>
      <w:bookmarkStart w:id="0" w:name="_GoBack"/>
      <w:bookmarkEnd w:id="0"/>
      <w:r>
        <w:rPr>
          <w:rFonts w:ascii="Calibri" w:hAnsi="Calibri" w:eastAsia="Calibri" w:cs="Calibri"/>
        </w:rPr>
        <w:t xml:space="preserve">]  </w:t>
      </w:r>
      <w:r>
        <w:rPr>
          <w:rFonts w:ascii="Calibri" w:hAnsi="Calibri" w:eastAsia="Calibri" w:cs="Calibri"/>
          <w:b/>
          <w:bCs/>
        </w:rPr>
        <w:t xml:space="preserve">Final commit: </w:t>
      </w:r>
      <w:r>
        <w:rPr>
          <w:rFonts w:ascii="Calibri" w:hAnsi="Calibri" w:eastAsia="Calibri" w:cs="Calibri"/>
        </w:rPr>
        <w:t>[commit hash]</w:t>
      </w:r>
    </w:p>
    <w:p w14:paraId="692C8182">
      <w:pPr>
        <w:pStyle w:val="2"/>
        <w:spacing w:before="280" w:after="120"/>
      </w:pPr>
      <w:r>
        <w:rPr>
          <w:rFonts w:ascii="Calibri" w:hAnsi="Calibri" w:eastAsia="Calibri" w:cs="Calibri"/>
          <w:b/>
          <w:bCs/>
          <w:sz w:val="30"/>
          <w:szCs w:val="30"/>
        </w:rPr>
        <w:t>1. Problem, assumptions and approach</w:t>
      </w:r>
    </w:p>
    <w:p w14:paraId="6B459A6D">
      <w:pPr>
        <w:spacing w:after="120"/>
      </w:pPr>
      <w:r>
        <w:rPr>
          <w:rFonts w:ascii="Calibri" w:hAnsi="Calibri" w:eastAsia="Calibri" w:cs="Calibri"/>
        </w:rPr>
        <w:t>This lab has three parts: (1) assemble a sourced timeline of AI milestones; (2) extend a rule-based scholarship-eligibility example with two new transparent conditions and test it; and (3) explain why passing a conversational test is not proof of general intelligence, using the scholarship case. It is a historical-evidence and reasoning exercise; no model is trained.</w:t>
      </w:r>
    </w:p>
    <w:p w14:paraId="6F9E9248">
      <w:pPr>
        <w:pStyle w:val="16"/>
        <w:numPr>
          <w:ilvl w:val="0"/>
          <w:numId w:val="1"/>
        </w:numPr>
        <w:spacing w:after="80"/>
      </w:pPr>
      <w:r>
        <w:rPr>
          <w:rFonts w:ascii="Calibri" w:hAnsi="Calibri" w:eastAsia="Calibri" w:cs="Calibri"/>
          <w:b/>
          <w:bCs/>
        </w:rPr>
        <w:t xml:space="preserve">Synthetic assumptions. </w:t>
      </w:r>
      <w:r>
        <w:rPr>
          <w:rFonts w:ascii="Calibri" w:hAnsi="Calibri" w:eastAsia="Calibri" w:cs="Calibri"/>
        </w:rPr>
        <w:t>Every threshold in this report (score ≥ 70, attendance ≥ 75 %, the weighted-score weights and cut-off of 78) is a synthetic lab assumption chosen for teaching. None of it is real scholarship policy, and all applicant data are invented.</w:t>
      </w:r>
    </w:p>
    <w:p w14:paraId="5BDFB7F3">
      <w:pPr>
        <w:pStyle w:val="16"/>
        <w:numPr>
          <w:ilvl w:val="0"/>
          <w:numId w:val="1"/>
        </w:numPr>
        <w:spacing w:after="80"/>
      </w:pPr>
      <w:r>
        <w:rPr>
          <w:rFonts w:ascii="Calibri" w:hAnsi="Calibri" w:eastAsia="Calibri" w:cs="Calibri"/>
        </w:rPr>
        <w:t>Implementation choice. Plain Python with only the standard library, so results are reproducible with the commands in the README. Each rule is a named, separately testable condition and the decision always returns a human-readable reason.</w:t>
      </w:r>
    </w:p>
    <w:p w14:paraId="1C035C58">
      <w:pPr>
        <w:pStyle w:val="16"/>
        <w:numPr>
          <w:ilvl w:val="0"/>
          <w:numId w:val="1"/>
        </w:numPr>
        <w:spacing w:after="80"/>
      </w:pPr>
      <w:r>
        <w:rPr>
          <w:rFonts w:ascii="Calibri" w:hAnsi="Calibri" w:eastAsia="Calibri" w:cs="Calibri"/>
        </w:rPr>
        <w:t>Alternatives compared. (a) The rule-based method, where every condition must hold, and (b) a hand-written weighted-score method where strengths can offset weaknesses. Both are transparent; neither is learned from data.</w:t>
      </w:r>
    </w:p>
    <w:p w14:paraId="1E74BE14">
      <w:pPr>
        <w:pStyle w:val="2"/>
        <w:spacing w:before="280" w:after="120"/>
      </w:pPr>
      <w:r>
        <w:rPr>
          <w:rFonts w:ascii="Calibri" w:hAnsi="Calibri" w:eastAsia="Calibri" w:cs="Calibri"/>
          <w:b/>
          <w:bCs/>
          <w:sz w:val="30"/>
          <w:szCs w:val="30"/>
        </w:rPr>
        <w:t>2. Task 1 – Timeline of AI milestones</w:t>
      </w:r>
    </w:p>
    <w:p w14:paraId="62AC7C24">
      <w:pPr>
        <w:spacing w:after="120"/>
      </w:pPr>
      <w:r>
        <w:rPr>
          <w:rFonts w:ascii="Calibri" w:hAnsi="Calibri" w:eastAsia="Calibri" w:cs="Calibri"/>
        </w:rPr>
        <w:t>Entries are in chronological order. The AI-winter entry is a period, and the 2012 entry is the modern compute/data milestone. Dating of the winters varies slightly between histories, so the period is given as approximate.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2650"/>
        <w:gridCol w:w="3260"/>
        <w:gridCol w:w="2200"/>
      </w:tblGrid>
      <w:tr w14:paraId="19FB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ACA0FD8">
            <w:r>
              <w:rPr>
                <w:rFonts w:ascii="Calibri" w:hAnsi="Calibri" w:eastAsia="Calibri" w:cs="Calibri"/>
                <w:b/>
                <w:bCs/>
                <w:sz w:val="18"/>
                <w:szCs w:val="18"/>
              </w:rPr>
              <w:t>Year / period</w:t>
            </w:r>
          </w:p>
        </w:tc>
        <w:tc>
          <w:tcPr>
            <w:tcW w:w="26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317E287">
            <w:r>
              <w:rPr>
                <w:rFonts w:ascii="Calibri" w:hAnsi="Calibri" w:eastAsia="Calibri" w:cs="Calibri"/>
                <w:b/>
                <w:bCs/>
                <w:sz w:val="18"/>
                <w:szCs w:val="18"/>
              </w:rPr>
              <w:t>Event</w:t>
            </w:r>
          </w:p>
        </w:tc>
        <w:tc>
          <w:tcPr>
            <w:tcW w:w="32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A2F2D12">
            <w:r>
              <w:rPr>
                <w:rFonts w:ascii="Calibri" w:hAnsi="Calibri" w:eastAsia="Calibri" w:cs="Calibri"/>
                <w:b/>
                <w:bCs/>
                <w:sz w:val="18"/>
                <w:szCs w:val="18"/>
              </w:rPr>
              <w:t>Significance (one sentence)</w:t>
            </w:r>
          </w:p>
        </w:tc>
        <w:tc>
          <w:tcPr>
            <w:tcW w:w="2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D6C39BC">
            <w:r>
              <w:rPr>
                <w:rFonts w:ascii="Calibri" w:hAnsi="Calibri" w:eastAsia="Calibri" w:cs="Calibri"/>
                <w:b/>
                <w:bCs/>
                <w:sz w:val="18"/>
                <w:szCs w:val="18"/>
              </w:rPr>
              <w:t>Source</w:t>
            </w:r>
          </w:p>
        </w:tc>
      </w:tr>
      <w:tr w14:paraId="4074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E90D49">
            <w:r>
              <w:rPr>
                <w:rFonts w:ascii="Calibri" w:hAnsi="Calibri" w:eastAsia="Calibri" w:cs="Calibri"/>
                <w:b w:val="0"/>
                <w:bCs w:val="0"/>
                <w:sz w:val="18"/>
                <w:szCs w:val="18"/>
              </w:rPr>
              <w:t>1950</w:t>
            </w:r>
          </w:p>
        </w:tc>
        <w:tc>
          <w:tcPr>
            <w:tcW w:w="2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E5FFB2B">
            <w:r>
              <w:rPr>
                <w:rFonts w:ascii="Calibri" w:hAnsi="Calibri" w:eastAsia="Calibri" w:cs="Calibri"/>
                <w:b w:val="0"/>
                <w:bCs w:val="0"/>
                <w:sz w:val="18"/>
                <w:szCs w:val="18"/>
              </w:rPr>
              <w:t>Turing publishes "Computing Machinery and Intelligence" and proposes the imitation game.</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227988D">
            <w:r>
              <w:rPr>
                <w:rFonts w:ascii="Calibri" w:hAnsi="Calibri" w:eastAsia="Calibri" w:cs="Calibri"/>
                <w:b w:val="0"/>
                <w:bCs w:val="0"/>
                <w:sz w:val="18"/>
                <w:szCs w:val="18"/>
              </w:rPr>
              <w:t>It replaced the vague question "can machines think?" with an observable behavioral test, framing the conversational-test debate in Part 3.</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31D3F4B">
            <w:r>
              <w:rPr>
                <w:rFonts w:ascii="Calibri" w:hAnsi="Calibri" w:eastAsia="Calibri" w:cs="Calibri"/>
                <w:b w:val="0"/>
                <w:bCs w:val="0"/>
                <w:sz w:val="18"/>
                <w:szCs w:val="18"/>
              </w:rPr>
              <w:t>Turing (1950)</w:t>
            </w:r>
          </w:p>
        </w:tc>
      </w:tr>
      <w:tr w14:paraId="6B7D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F671C1">
            <w:r>
              <w:rPr>
                <w:rFonts w:ascii="Calibri" w:hAnsi="Calibri" w:eastAsia="Calibri" w:cs="Calibri"/>
                <w:b w:val="0"/>
                <w:bCs w:val="0"/>
                <w:sz w:val="18"/>
                <w:szCs w:val="18"/>
              </w:rPr>
              <w:t>1956</w:t>
            </w:r>
          </w:p>
        </w:tc>
        <w:tc>
          <w:tcPr>
            <w:tcW w:w="2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2389AD">
            <w:r>
              <w:rPr>
                <w:rFonts w:ascii="Calibri" w:hAnsi="Calibri" w:eastAsia="Calibri" w:cs="Calibri"/>
                <w:b w:val="0"/>
                <w:bCs w:val="0"/>
                <w:sz w:val="18"/>
                <w:szCs w:val="18"/>
              </w:rPr>
              <w:t>Dartmouth summer workshop, based on the 1955 proposal by McCarthy, Minsky, Rochester and Shannon, adopts the name "artificial intelligence".</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BF27FD">
            <w:r>
              <w:rPr>
                <w:rFonts w:ascii="Calibri" w:hAnsi="Calibri" w:eastAsia="Calibri" w:cs="Calibri"/>
                <w:b w:val="0"/>
                <w:bCs w:val="0"/>
                <w:sz w:val="18"/>
                <w:szCs w:val="18"/>
              </w:rPr>
              <w:t>It is widely treated as the founding event of AI as a research field with its own name and agenda.</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0234F5">
            <w:r>
              <w:rPr>
                <w:rFonts w:ascii="Calibri" w:hAnsi="Calibri" w:eastAsia="Calibri" w:cs="Calibri"/>
                <w:b w:val="0"/>
                <w:bCs w:val="0"/>
                <w:sz w:val="18"/>
                <w:szCs w:val="18"/>
              </w:rPr>
              <w:t>McCarthy et al. (1955/2006)</w:t>
            </w:r>
          </w:p>
        </w:tc>
      </w:tr>
      <w:tr w14:paraId="490E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4F6A9D5">
            <w:r>
              <w:rPr>
                <w:rFonts w:ascii="Calibri" w:hAnsi="Calibri" w:eastAsia="Calibri" w:cs="Calibri"/>
                <w:b w:val="0"/>
                <w:bCs w:val="0"/>
                <w:sz w:val="18"/>
                <w:szCs w:val="18"/>
              </w:rPr>
              <w:t>c. 1974–1980 (first AI winter)</w:t>
            </w:r>
          </w:p>
        </w:tc>
        <w:tc>
          <w:tcPr>
            <w:tcW w:w="2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4EF2460">
            <w:r>
              <w:rPr>
                <w:rFonts w:ascii="Calibri" w:hAnsi="Calibri" w:eastAsia="Calibri" w:cs="Calibri"/>
                <w:b w:val="0"/>
                <w:bCs w:val="0"/>
                <w:sz w:val="18"/>
                <w:szCs w:val="18"/>
              </w:rPr>
              <w:t>Funding and optimism fall after critical assessments such as the UK Lighthill report (1973) and reduced government support.</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F811B55">
            <w:r>
              <w:rPr>
                <w:rFonts w:ascii="Calibri" w:hAnsi="Calibri" w:eastAsia="Calibri" w:cs="Calibri"/>
                <w:b w:val="0"/>
                <w:bCs w:val="0"/>
                <w:sz w:val="18"/>
                <w:szCs w:val="18"/>
              </w:rPr>
              <w:t>It shows that overpromising and limited computing power led to a lasting drop in funding, a caution for evaluating current claims.</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9FA6D33">
            <w:r>
              <w:rPr>
                <w:rFonts w:ascii="Calibri" w:hAnsi="Calibri" w:eastAsia="Calibri" w:cs="Calibri"/>
                <w:b w:val="0"/>
                <w:bCs w:val="0"/>
                <w:sz w:val="18"/>
                <w:szCs w:val="18"/>
              </w:rPr>
              <w:t>Lighthill (1973); Crevier (1993)</w:t>
            </w:r>
          </w:p>
        </w:tc>
      </w:tr>
      <w:tr w14:paraId="7CAB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3C346B">
            <w:r>
              <w:rPr>
                <w:rFonts w:ascii="Calibri" w:hAnsi="Calibri" w:eastAsia="Calibri" w:cs="Calibri"/>
                <w:b w:val="0"/>
                <w:bCs w:val="0"/>
                <w:sz w:val="18"/>
                <w:szCs w:val="18"/>
              </w:rPr>
              <w:t>1997</w:t>
            </w:r>
          </w:p>
        </w:tc>
        <w:tc>
          <w:tcPr>
            <w:tcW w:w="2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8CA7E9">
            <w:r>
              <w:rPr>
                <w:rFonts w:ascii="Calibri" w:hAnsi="Calibri" w:eastAsia="Calibri" w:cs="Calibri"/>
                <w:b w:val="0"/>
                <w:bCs w:val="0"/>
                <w:sz w:val="18"/>
                <w:szCs w:val="18"/>
              </w:rPr>
              <w:t>IBM's Deep Blue defeats world chess champion Garry Kasparov in a match.</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3E69E3">
            <w:r>
              <w:rPr>
                <w:rFonts w:ascii="Calibri" w:hAnsi="Calibri" w:eastAsia="Calibri" w:cs="Calibri"/>
                <w:b w:val="0"/>
                <w:bCs w:val="0"/>
                <w:sz w:val="18"/>
                <w:szCs w:val="18"/>
              </w:rPr>
              <w:t>It showed that specialised search plus custom hardware can beat the best human at a narrow task, without general intelligence.</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7BF6D6">
            <w:r>
              <w:rPr>
                <w:rFonts w:ascii="Calibri" w:hAnsi="Calibri" w:eastAsia="Calibri" w:cs="Calibri"/>
                <w:b w:val="0"/>
                <w:bCs w:val="0"/>
                <w:sz w:val="18"/>
                <w:szCs w:val="18"/>
              </w:rPr>
              <w:t>Campbell, Hoane &amp; Hsu (2002)</w:t>
            </w:r>
          </w:p>
        </w:tc>
      </w:tr>
      <w:tr w14:paraId="6FF3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F93EDBD">
            <w:r>
              <w:rPr>
                <w:rFonts w:ascii="Calibri" w:hAnsi="Calibri" w:eastAsia="Calibri" w:cs="Calibri"/>
                <w:b w:val="0"/>
                <w:bCs w:val="0"/>
                <w:sz w:val="18"/>
                <w:szCs w:val="18"/>
              </w:rPr>
              <w:t>2012</w:t>
            </w:r>
          </w:p>
        </w:tc>
        <w:tc>
          <w:tcPr>
            <w:tcW w:w="2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82745DD">
            <w:r>
              <w:rPr>
                <w:rFonts w:ascii="Calibri" w:hAnsi="Calibri" w:eastAsia="Calibri" w:cs="Calibri"/>
                <w:b w:val="0"/>
                <w:bCs w:val="0"/>
                <w:sz w:val="18"/>
                <w:szCs w:val="18"/>
              </w:rPr>
              <w:t>AlexNet, a deep convolutional network trained on GPUs, wins the ImageNet (ILSVRC) challenge by a large margin.</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D0786C">
            <w:r>
              <w:rPr>
                <w:rFonts w:ascii="Calibri" w:hAnsi="Calibri" w:eastAsia="Calibri" w:cs="Calibri"/>
                <w:b w:val="0"/>
                <w:bCs w:val="0"/>
                <w:sz w:val="18"/>
                <w:szCs w:val="18"/>
              </w:rPr>
              <w:t>It combined a large labelled dataset (ImageNet, 2009) with GPU compute and launched the modern deep-learning era.</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CCDFC45">
            <w:r>
              <w:rPr>
                <w:rFonts w:ascii="Calibri" w:hAnsi="Calibri" w:eastAsia="Calibri" w:cs="Calibri"/>
                <w:b w:val="0"/>
                <w:bCs w:val="0"/>
                <w:sz w:val="18"/>
                <w:szCs w:val="18"/>
              </w:rPr>
              <w:t>Krizhevsky, Sutskever &amp; Hinton (2012); Deng et al. (2009)</w:t>
            </w:r>
          </w:p>
        </w:tc>
      </w:tr>
      <w:tr w14:paraId="75FB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6C915E">
            <w:r>
              <w:rPr>
                <w:rFonts w:ascii="Calibri" w:hAnsi="Calibri" w:eastAsia="Calibri" w:cs="Calibri"/>
                <w:b w:val="0"/>
                <w:bCs w:val="0"/>
                <w:sz w:val="18"/>
                <w:szCs w:val="18"/>
              </w:rPr>
              <w:t>2017</w:t>
            </w:r>
          </w:p>
        </w:tc>
        <w:tc>
          <w:tcPr>
            <w:tcW w:w="26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83E22C">
            <w:r>
              <w:rPr>
                <w:rFonts w:ascii="Calibri" w:hAnsi="Calibri" w:eastAsia="Calibri" w:cs="Calibri"/>
                <w:b w:val="0"/>
                <w:bCs w:val="0"/>
                <w:sz w:val="18"/>
                <w:szCs w:val="18"/>
              </w:rPr>
              <w:t>Vaswani et al. introduce the Transformer architecture ("Attention Is All You Need").</w:t>
            </w:r>
          </w:p>
        </w:tc>
        <w:tc>
          <w:tcPr>
            <w:tcW w:w="3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787E698">
            <w:r>
              <w:rPr>
                <w:rFonts w:ascii="Calibri" w:hAnsi="Calibri" w:eastAsia="Calibri" w:cs="Calibri"/>
                <w:b w:val="0"/>
                <w:bCs w:val="0"/>
                <w:sz w:val="18"/>
                <w:szCs w:val="18"/>
              </w:rPr>
              <w:t>It enabled highly parallel training at scale and underlies today's large language models, including conversational systems.</w:t>
            </w:r>
          </w:p>
        </w:tc>
        <w:tc>
          <w:tcPr>
            <w:tcW w:w="2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9BB11A1">
            <w:r>
              <w:rPr>
                <w:rFonts w:ascii="Calibri" w:hAnsi="Calibri" w:eastAsia="Calibri" w:cs="Calibri"/>
                <w:b w:val="0"/>
                <w:bCs w:val="0"/>
                <w:sz w:val="18"/>
                <w:szCs w:val="18"/>
              </w:rPr>
              <w:t>Vaswani et al. (2017)</w:t>
            </w:r>
          </w:p>
        </w:tc>
      </w:tr>
    </w:tbl>
    <w:p w14:paraId="029013B1">
      <w:pPr>
        <w:pStyle w:val="2"/>
        <w:spacing w:before="280" w:after="120"/>
      </w:pPr>
      <w:r>
        <w:rPr>
          <w:rFonts w:ascii="Calibri" w:hAnsi="Calibri" w:eastAsia="Calibri" w:cs="Calibri"/>
          <w:b/>
          <w:bCs/>
          <w:sz w:val="30"/>
          <w:szCs w:val="30"/>
        </w:rPr>
        <w:t>3. Task 2 – Modified rule-based system</w:t>
      </w:r>
    </w:p>
    <w:p w14:paraId="2BA0165B">
      <w:pPr>
        <w:pStyle w:val="3"/>
        <w:spacing w:before="200" w:after="100"/>
      </w:pPr>
      <w:r>
        <w:rPr>
          <w:rFonts w:ascii="Calibri" w:hAnsi="Calibri" w:eastAsia="Calibri" w:cs="Calibri"/>
          <w:b/>
          <w:bCs/>
          <w:sz w:val="25"/>
          <w:szCs w:val="25"/>
        </w:rPr>
        <w:t>3.1 Rules</w:t>
      </w:r>
    </w:p>
    <w:p w14:paraId="695F2AD7">
      <w:pPr>
        <w:pStyle w:val="16"/>
        <w:numPr>
          <w:ilvl w:val="0"/>
          <w:numId w:val="1"/>
        </w:numPr>
        <w:spacing w:after="80"/>
      </w:pPr>
      <w:r>
        <w:rPr>
          <w:rFonts w:ascii="Calibri" w:hAnsi="Calibri" w:eastAsia="Calibri" w:cs="Calibri"/>
        </w:rPr>
        <w:t>C1_score_threshold (retained): score ≥ 70.</w:t>
      </w:r>
    </w:p>
    <w:p w14:paraId="69F40CB4">
      <w:pPr>
        <w:pStyle w:val="16"/>
        <w:numPr>
          <w:ilvl w:val="0"/>
          <w:numId w:val="1"/>
        </w:numPr>
        <w:spacing w:after="80"/>
      </w:pPr>
      <w:r>
        <w:rPr>
          <w:rFonts w:ascii="Calibri" w:hAnsi="Calibri" w:eastAsia="Calibri" w:cs="Calibri"/>
        </w:rPr>
        <w:t>C2_documents_complete (retained): all required documents submitted.</w:t>
      </w:r>
    </w:p>
    <w:p w14:paraId="27D2B7AA">
      <w:pPr>
        <w:pStyle w:val="16"/>
        <w:numPr>
          <w:ilvl w:val="0"/>
          <w:numId w:val="1"/>
        </w:numPr>
        <w:spacing w:after="80"/>
      </w:pPr>
      <w:r>
        <w:rPr>
          <w:rFonts w:ascii="Calibri" w:hAnsi="Calibri" w:eastAsia="Calibri" w:cs="Calibri"/>
        </w:rPr>
        <w:t>C3_attendance_minimum (new, named): attendance ≥ 75 %.</w:t>
      </w:r>
    </w:p>
    <w:p w14:paraId="35FA1BA7">
      <w:pPr>
        <w:pStyle w:val="16"/>
        <w:numPr>
          <w:ilvl w:val="0"/>
          <w:numId w:val="1"/>
        </w:numPr>
        <w:spacing w:after="80"/>
      </w:pPr>
      <w:r>
        <w:rPr>
          <w:rFonts w:ascii="Calibri" w:hAnsi="Calibri" w:eastAsia="Calibri" w:cs="Calibri"/>
        </w:rPr>
        <w:t>C4_clean_conduct_record (new, named): no active disciplinary case.</w:t>
      </w:r>
    </w:p>
    <w:p w14:paraId="68665D16">
      <w:pPr>
        <w:spacing w:after="120"/>
      </w:pPr>
      <w:r>
        <w:rPr>
          <w:rFonts w:ascii="Calibri" w:hAnsi="Calibri" w:eastAsia="Calibri" w:cs="Calibri"/>
        </w:rPr>
        <w:t>An applicant is eligible only if all four conditions hold. A missing field fails the rule that needs it, so incomplete data never produces an accidental "eligible". Thresholds are synthetic lab assumptions.</w:t>
      </w:r>
    </w:p>
    <w:p w14:paraId="3034C7F5">
      <w:pPr>
        <w:pStyle w:val="3"/>
        <w:spacing w:before="200" w:after="100"/>
      </w:pPr>
      <w:r>
        <w:rPr>
          <w:rFonts w:ascii="Calibri" w:hAnsi="Calibri" w:eastAsia="Calibri" w:cs="Calibri"/>
          <w:b/>
          <w:bCs/>
          <w:sz w:val="25"/>
          <w:szCs w:val="25"/>
        </w:rPr>
        <w:t>3.2 The four core test cases and actual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900"/>
        <w:gridCol w:w="1250"/>
        <w:gridCol w:w="1250"/>
        <w:gridCol w:w="2260"/>
      </w:tblGrid>
      <w:tr w14:paraId="30657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DC07AB8">
            <w:r>
              <w:rPr>
                <w:rFonts w:ascii="Calibri" w:hAnsi="Calibri" w:eastAsia="Calibri" w:cs="Calibri"/>
                <w:b/>
                <w:bCs/>
                <w:sz w:val="18"/>
                <w:szCs w:val="18"/>
              </w:rPr>
              <w:t>Case</w:t>
            </w:r>
          </w:p>
        </w:tc>
        <w:tc>
          <w:tcPr>
            <w:tcW w:w="2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322F2B7">
            <w:r>
              <w:rPr>
                <w:rFonts w:ascii="Calibri" w:hAnsi="Calibri" w:eastAsia="Calibri" w:cs="Calibri"/>
                <w:b/>
                <w:bCs/>
                <w:sz w:val="18"/>
                <w:szCs w:val="18"/>
              </w:rPr>
              <w:t>Input</w:t>
            </w:r>
          </w:p>
        </w:tc>
        <w:tc>
          <w:tcPr>
            <w:tcW w:w="12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EB309E6">
            <w:r>
              <w:rPr>
                <w:rFonts w:ascii="Calibri" w:hAnsi="Calibri" w:eastAsia="Calibri" w:cs="Calibri"/>
                <w:b/>
                <w:bCs/>
                <w:sz w:val="18"/>
                <w:szCs w:val="18"/>
              </w:rPr>
              <w:t>Expected</w:t>
            </w:r>
          </w:p>
        </w:tc>
        <w:tc>
          <w:tcPr>
            <w:tcW w:w="12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D3586BE">
            <w:r>
              <w:rPr>
                <w:rFonts w:ascii="Calibri" w:hAnsi="Calibri" w:eastAsia="Calibri" w:cs="Calibri"/>
                <w:b/>
                <w:bCs/>
                <w:sz w:val="18"/>
                <w:szCs w:val="18"/>
              </w:rPr>
              <w:t>Actual</w:t>
            </w:r>
          </w:p>
        </w:tc>
        <w:tc>
          <w:tcPr>
            <w:tcW w:w="22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F2D7031">
            <w:r>
              <w:rPr>
                <w:rFonts w:ascii="Calibri" w:hAnsi="Calibri" w:eastAsia="Calibri" w:cs="Calibri"/>
                <w:b/>
                <w:bCs/>
                <w:sz w:val="18"/>
                <w:szCs w:val="18"/>
              </w:rPr>
              <w:t>Reason</w:t>
            </w:r>
          </w:p>
        </w:tc>
      </w:tr>
      <w:tr w14:paraId="57AB6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7DA8CD8">
            <w:r>
              <w:rPr>
                <w:rFonts w:ascii="Calibri" w:hAnsi="Calibri" w:eastAsia="Calibri" w:cs="Calibri"/>
                <w:b w:val="0"/>
                <w:bCs w:val="0"/>
                <w:sz w:val="18"/>
                <w:szCs w:val="18"/>
              </w:rPr>
              <w:t>T1 pass (typical)</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006FFD">
            <w:r>
              <w:rPr>
                <w:rFonts w:ascii="Calibri" w:hAnsi="Calibri" w:eastAsia="Calibri" w:cs="Calibri"/>
                <w:b w:val="0"/>
                <w:bCs w:val="0"/>
                <w:sz w:val="18"/>
                <w:szCs w:val="18"/>
              </w:rPr>
              <w:t>score 82, docs complete, attendance 90, conduct clear</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D5F5B2F">
            <w:r>
              <w:rPr>
                <w:rFonts w:ascii="Calibri" w:hAnsi="Calibri" w:eastAsia="Calibri" w:cs="Calibri"/>
                <w:b w:val="0"/>
                <w:bCs w:val="0"/>
                <w:sz w:val="18"/>
                <w:szCs w:val="18"/>
              </w:rPr>
              <w:t>ELIGIBLE</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E310E87">
            <w:r>
              <w:rPr>
                <w:rFonts w:ascii="Calibri" w:hAnsi="Calibri" w:eastAsia="Calibri" w:cs="Calibri"/>
                <w:b w:val="0"/>
                <w:bCs w:val="0"/>
                <w:sz w:val="18"/>
                <w:szCs w:val="18"/>
              </w:rPr>
              <w:t>ELIGIBLE</w:t>
            </w:r>
          </w:p>
        </w:tc>
        <w:tc>
          <w:tcPr>
            <w:tcW w:w="2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4DCDB18">
            <w:r>
              <w:rPr>
                <w:rFonts w:ascii="Calibri" w:hAnsi="Calibri" w:eastAsia="Calibri" w:cs="Calibri"/>
                <w:b w:val="0"/>
                <w:bCs w:val="0"/>
                <w:sz w:val="18"/>
                <w:szCs w:val="18"/>
              </w:rPr>
              <w:t>All four conditions satisfied. MATCH</w:t>
            </w:r>
          </w:p>
        </w:tc>
      </w:tr>
      <w:tr w14:paraId="2FA4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9F46C4">
            <w:r>
              <w:rPr>
                <w:rFonts w:ascii="Calibri" w:hAnsi="Calibri" w:eastAsia="Calibri" w:cs="Calibri"/>
                <w:b w:val="0"/>
                <w:bCs w:val="0"/>
                <w:sz w:val="18"/>
                <w:szCs w:val="18"/>
              </w:rPr>
              <w:t>T2 fails new condition C3</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390040">
            <w:r>
              <w:rPr>
                <w:rFonts w:ascii="Calibri" w:hAnsi="Calibri" w:eastAsia="Calibri" w:cs="Calibri"/>
                <w:b w:val="0"/>
                <w:bCs w:val="0"/>
                <w:sz w:val="18"/>
                <w:szCs w:val="18"/>
              </w:rPr>
              <w:t>score 85, docs complete, attendance 60, conduct clear</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09D7A5B">
            <w:r>
              <w:rPr>
                <w:rFonts w:ascii="Calibri" w:hAnsi="Calibri" w:eastAsia="Calibri" w:cs="Calibri"/>
                <w:b w:val="0"/>
                <w:bCs w:val="0"/>
                <w:sz w:val="18"/>
                <w:szCs w:val="18"/>
              </w:rPr>
              <w:t>NOT ELIGIBLE</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063943">
            <w:r>
              <w:rPr>
                <w:rFonts w:ascii="Calibri" w:hAnsi="Calibri" w:eastAsia="Calibri" w:cs="Calibri"/>
                <w:b w:val="0"/>
                <w:bCs w:val="0"/>
                <w:sz w:val="18"/>
                <w:szCs w:val="18"/>
              </w:rPr>
              <w:t>NOT ELIGIBLE</w:t>
            </w:r>
          </w:p>
        </w:tc>
        <w:tc>
          <w:tcPr>
            <w:tcW w:w="2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6D3D28">
            <w:r>
              <w:rPr>
                <w:rFonts w:ascii="Calibri" w:hAnsi="Calibri" w:eastAsia="Calibri" w:cs="Calibri"/>
                <w:b w:val="0"/>
                <w:bCs w:val="0"/>
                <w:sz w:val="18"/>
                <w:szCs w:val="18"/>
              </w:rPr>
              <w:t>C3_attendance_minimum failed (60 &lt; 75). MATCH</w:t>
            </w:r>
          </w:p>
        </w:tc>
      </w:tr>
      <w:tr w14:paraId="307B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2F4ABE">
            <w:r>
              <w:rPr>
                <w:rFonts w:ascii="Calibri" w:hAnsi="Calibri" w:eastAsia="Calibri" w:cs="Calibri"/>
                <w:b w:val="0"/>
                <w:bCs w:val="0"/>
                <w:sz w:val="18"/>
                <w:szCs w:val="18"/>
              </w:rPr>
              <w:t>T3 fails new condition C4</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FDA19B8">
            <w:r>
              <w:rPr>
                <w:rFonts w:ascii="Calibri" w:hAnsi="Calibri" w:eastAsia="Calibri" w:cs="Calibri"/>
                <w:b w:val="0"/>
                <w:bCs w:val="0"/>
                <w:sz w:val="18"/>
                <w:szCs w:val="18"/>
              </w:rPr>
              <w:t>score 88, docs complete, attendance 95, conduct not clear</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380AA0">
            <w:r>
              <w:rPr>
                <w:rFonts w:ascii="Calibri" w:hAnsi="Calibri" w:eastAsia="Calibri" w:cs="Calibri"/>
                <w:b w:val="0"/>
                <w:bCs w:val="0"/>
                <w:sz w:val="18"/>
                <w:szCs w:val="18"/>
              </w:rPr>
              <w:t>NOT ELIGIBLE</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CF77A9">
            <w:r>
              <w:rPr>
                <w:rFonts w:ascii="Calibri" w:hAnsi="Calibri" w:eastAsia="Calibri" w:cs="Calibri"/>
                <w:b w:val="0"/>
                <w:bCs w:val="0"/>
                <w:sz w:val="18"/>
                <w:szCs w:val="18"/>
              </w:rPr>
              <w:t>NOT ELIGIBLE</w:t>
            </w:r>
          </w:p>
        </w:tc>
        <w:tc>
          <w:tcPr>
            <w:tcW w:w="2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088B313">
            <w:r>
              <w:rPr>
                <w:rFonts w:ascii="Calibri" w:hAnsi="Calibri" w:eastAsia="Calibri" w:cs="Calibri"/>
                <w:b w:val="0"/>
                <w:bCs w:val="0"/>
                <w:sz w:val="18"/>
                <w:szCs w:val="18"/>
              </w:rPr>
              <w:t>C4_clean_conduct_record failed. MATCH</w:t>
            </w:r>
          </w:p>
        </w:tc>
      </w:tr>
      <w:tr w14:paraId="37156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5500D6">
            <w:r>
              <w:rPr>
                <w:rFonts w:ascii="Calibri" w:hAnsi="Calibri" w:eastAsia="Calibri" w:cs="Calibri"/>
                <w:b w:val="0"/>
                <w:bCs w:val="0"/>
                <w:sz w:val="18"/>
                <w:szCs w:val="18"/>
              </w:rPr>
              <w:t>T4 threshold boundary</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E1E03E">
            <w:r>
              <w:rPr>
                <w:rFonts w:ascii="Calibri" w:hAnsi="Calibri" w:eastAsia="Calibri" w:cs="Calibri"/>
                <w:b w:val="0"/>
                <w:bCs w:val="0"/>
                <w:sz w:val="18"/>
                <w:szCs w:val="18"/>
              </w:rPr>
              <w:t>score 70, docs complete, attendance 75, conduct clear</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7B9BDBC">
            <w:r>
              <w:rPr>
                <w:rFonts w:ascii="Calibri" w:hAnsi="Calibri" w:eastAsia="Calibri" w:cs="Calibri"/>
                <w:b w:val="0"/>
                <w:bCs w:val="0"/>
                <w:sz w:val="18"/>
                <w:szCs w:val="18"/>
              </w:rPr>
              <w:t>ELIGIBLE</w:t>
            </w:r>
          </w:p>
        </w:tc>
        <w:tc>
          <w:tcPr>
            <w:tcW w:w="12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E99FB2">
            <w:r>
              <w:rPr>
                <w:rFonts w:ascii="Calibri" w:hAnsi="Calibri" w:eastAsia="Calibri" w:cs="Calibri"/>
                <w:b w:val="0"/>
                <w:bCs w:val="0"/>
                <w:sz w:val="18"/>
                <w:szCs w:val="18"/>
              </w:rPr>
              <w:t>ELIGIBLE</w:t>
            </w:r>
          </w:p>
        </w:tc>
        <w:tc>
          <w:tcPr>
            <w:tcW w:w="22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CAB7932">
            <w:r>
              <w:rPr>
                <w:rFonts w:ascii="Calibri" w:hAnsi="Calibri" w:eastAsia="Calibri" w:cs="Calibri"/>
                <w:b w:val="0"/>
                <w:bCs w:val="0"/>
                <w:sz w:val="18"/>
                <w:szCs w:val="18"/>
              </w:rPr>
              <w:t>Exactly at both thresholds; ≥ includes the boundary. MATCH</w:t>
            </w:r>
          </w:p>
        </w:tc>
      </w:tr>
    </w:tbl>
    <w:p w14:paraId="1463A5A9">
      <w:pPr>
        <w:spacing w:before="80" w:after="120"/>
      </w:pPr>
      <w:r>
        <w:rPr>
          <w:rFonts w:ascii="Calibri" w:hAnsi="Calibri" w:eastAsia="Calibri" w:cs="Calibri"/>
        </w:rPr>
        <w:t>Captured output: outputs/rules_output.txt (4/4 matched expectations).</w:t>
      </w:r>
    </w:p>
    <w:p w14:paraId="133FF077">
      <w:pPr>
        <w:pStyle w:val="3"/>
        <w:spacing w:before="200" w:after="100"/>
      </w:pPr>
      <w:r>
        <w:rPr>
          <w:rFonts w:ascii="Calibri" w:hAnsi="Calibri" w:eastAsia="Calibri" w:cs="Calibri"/>
          <w:b/>
          <w:bCs/>
          <w:sz w:val="25"/>
          <w:szCs w:val="25"/>
        </w:rPr>
        <w:t>3.3 How the cases were selected</w:t>
      </w:r>
    </w:p>
    <w:p w14:paraId="1568957D">
      <w:pPr>
        <w:spacing w:after="120"/>
      </w:pPr>
      <w:r>
        <w:rPr>
          <w:rFonts w:ascii="Calibri" w:hAnsi="Calibri" w:eastAsia="Calibri" w:cs="Calibri"/>
        </w:rPr>
        <w:t>I used partitioning plus boundary testing. T1 is the normal passing path. T2 and T3 each violate exactly one new condition while every other condition is satisfied, so a failure can only be explained by that rule and the reason text can be checked against it. T4 sits exactly on the thresholds, because the most likely bug in a rule like this is writing &gt; instead of ≥. Just-below values (score 69, attendance 74) were left out of the four core cases to keep to exactly four, and appear instead in the comparison dataset (A04 and A03).</w:t>
      </w:r>
    </w:p>
    <w:p w14:paraId="5F55821E">
      <w:pPr>
        <w:pStyle w:val="2"/>
        <w:spacing w:before="280" w:after="120"/>
      </w:pPr>
      <w:r>
        <w:rPr>
          <w:rFonts w:ascii="Calibri" w:hAnsi="Calibri" w:eastAsia="Calibri" w:cs="Calibri"/>
          <w:b/>
          <w:bCs/>
          <w:sz w:val="30"/>
          <w:szCs w:val="30"/>
        </w:rPr>
        <w:t>4. Comparison of alternatives and disagreement table</w:t>
      </w:r>
    </w:p>
    <w:p w14:paraId="53C54012">
      <w:pPr>
        <w:spacing w:after="120"/>
      </w:pPr>
      <w:r>
        <w:rPr>
          <w:rFonts w:ascii="Calibri" w:hAnsi="Calibri" w:eastAsia="Calibri" w:cs="Calibri"/>
        </w:rPr>
        <w:t>The weighted alternative computes composite = 0.6 × score + 0.2 × attendance + 0.2 × (100 if conduct clear, else 0) and requires complete documents and composite ≥ 78. These weights and the cut-off are synthetic assumptions. Both methods were run on the 10 synthetic applicants in applicants.csv (output: outputs/compare_output.txt). They agree on 5 and disagree on 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500"/>
        <w:gridCol w:w="1400"/>
        <w:gridCol w:w="1700"/>
        <w:gridCol w:w="4060"/>
      </w:tblGrid>
      <w:tr w14:paraId="1E55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E98C59C">
            <w:r>
              <w:rPr>
                <w:rFonts w:ascii="Calibri" w:hAnsi="Calibri" w:eastAsia="Calibri" w:cs="Calibri"/>
                <w:b/>
                <w:bCs/>
                <w:sz w:val="18"/>
                <w:szCs w:val="18"/>
              </w:rPr>
              <w:t>ID</w:t>
            </w:r>
          </w:p>
        </w:tc>
        <w:tc>
          <w:tcPr>
            <w:tcW w:w="15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42FD3F6">
            <w:r>
              <w:rPr>
                <w:rFonts w:ascii="Calibri" w:hAnsi="Calibri" w:eastAsia="Calibri" w:cs="Calibri"/>
                <w:b/>
                <w:bCs/>
                <w:sz w:val="18"/>
                <w:szCs w:val="18"/>
              </w:rPr>
              <w:t>Score / attendance</w:t>
            </w:r>
          </w:p>
        </w:tc>
        <w:tc>
          <w:tcPr>
            <w:tcW w:w="1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B5034C4">
            <w:r>
              <w:rPr>
                <w:rFonts w:ascii="Calibri" w:hAnsi="Calibri" w:eastAsia="Calibri" w:cs="Calibri"/>
                <w:b/>
                <w:bCs/>
                <w:sz w:val="18"/>
                <w:szCs w:val="18"/>
              </w:rPr>
              <w:t>Rule-based</w:t>
            </w:r>
          </w:p>
        </w:tc>
        <w:tc>
          <w:tcPr>
            <w:tcW w:w="1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B495465">
            <w:r>
              <w:rPr>
                <w:rFonts w:ascii="Calibri" w:hAnsi="Calibri" w:eastAsia="Calibri" w:cs="Calibri"/>
                <w:b/>
                <w:bCs/>
                <w:sz w:val="18"/>
                <w:szCs w:val="18"/>
              </w:rPr>
              <w:t>Weighted</w:t>
            </w:r>
          </w:p>
        </w:tc>
        <w:tc>
          <w:tcPr>
            <w:tcW w:w="40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36A0E9A1">
            <w:r>
              <w:rPr>
                <w:rFonts w:ascii="Calibri" w:hAnsi="Calibri" w:eastAsia="Calibri" w:cs="Calibri"/>
                <w:b/>
                <w:bCs/>
                <w:sz w:val="18"/>
                <w:szCs w:val="18"/>
              </w:rPr>
              <w:t>Why they differ</w:t>
            </w:r>
          </w:p>
        </w:tc>
      </w:tr>
      <w:tr w14:paraId="174E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BDA7C4F">
            <w:r>
              <w:rPr>
                <w:rFonts w:ascii="Calibri" w:hAnsi="Calibri" w:eastAsia="Calibri" w:cs="Calibri"/>
                <w:b w:val="0"/>
                <w:bCs w:val="0"/>
                <w:sz w:val="18"/>
                <w:szCs w:val="18"/>
              </w:rPr>
              <w:t>A02</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B950A4">
            <w:r>
              <w:rPr>
                <w:rFonts w:ascii="Calibri" w:hAnsi="Calibri" w:eastAsia="Calibri" w:cs="Calibri"/>
                <w:b w:val="0"/>
                <w:bCs w:val="0"/>
                <w:sz w:val="18"/>
                <w:szCs w:val="18"/>
              </w:rPr>
              <w:t>70 / 75 %</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D6FC06">
            <w:r>
              <w:rPr>
                <w:rFonts w:ascii="Calibri" w:hAnsi="Calibri" w:eastAsia="Calibri" w:cs="Calibri"/>
                <w:b w:val="0"/>
                <w:bCs w:val="0"/>
                <w:sz w:val="18"/>
                <w:szCs w:val="18"/>
              </w:rPr>
              <w:t>ELIGIBLE</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C651F4">
            <w:r>
              <w:rPr>
                <w:rFonts w:ascii="Calibri" w:hAnsi="Calibri" w:eastAsia="Calibri" w:cs="Calibri"/>
                <w:b w:val="0"/>
                <w:bCs w:val="0"/>
                <w:sz w:val="18"/>
                <w:szCs w:val="18"/>
              </w:rPr>
              <w:t>NO (77.0)</w:t>
            </w:r>
          </w:p>
        </w:tc>
        <w:tc>
          <w:tcPr>
            <w:tcW w:w="40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B7DB8A">
            <w:r>
              <w:rPr>
                <w:rFonts w:ascii="Calibri" w:hAnsi="Calibri" w:eastAsia="Calibri" w:cs="Calibri"/>
                <w:b w:val="0"/>
                <w:bCs w:val="0"/>
                <w:sz w:val="18"/>
                <w:szCs w:val="18"/>
              </w:rPr>
              <w:t>Boundary case: passes every hard threshold but a modest composite.</w:t>
            </w:r>
          </w:p>
        </w:tc>
      </w:tr>
      <w:tr w14:paraId="53F9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BF5D415">
            <w:r>
              <w:rPr>
                <w:rFonts w:ascii="Calibri" w:hAnsi="Calibri" w:eastAsia="Calibri" w:cs="Calibri"/>
                <w:b w:val="0"/>
                <w:bCs w:val="0"/>
                <w:sz w:val="18"/>
                <w:szCs w:val="18"/>
              </w:rPr>
              <w:t>A03</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C48191">
            <w:r>
              <w:rPr>
                <w:rFonts w:ascii="Calibri" w:hAnsi="Calibri" w:eastAsia="Calibri" w:cs="Calibri"/>
                <w:b w:val="0"/>
                <w:bCs w:val="0"/>
                <w:sz w:val="18"/>
                <w:szCs w:val="18"/>
              </w:rPr>
              <w:t>95 / 74 %</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EFAEC6">
            <w:r>
              <w:rPr>
                <w:rFonts w:ascii="Calibri" w:hAnsi="Calibri" w:eastAsia="Calibri" w:cs="Calibri"/>
                <w:b w:val="0"/>
                <w:bCs w:val="0"/>
                <w:sz w:val="18"/>
                <w:szCs w:val="18"/>
              </w:rPr>
              <w:t>NO (C3)</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FCBD8F">
            <w:r>
              <w:rPr>
                <w:rFonts w:ascii="Calibri" w:hAnsi="Calibri" w:eastAsia="Calibri" w:cs="Calibri"/>
                <w:b w:val="0"/>
                <w:bCs w:val="0"/>
                <w:sz w:val="18"/>
                <w:szCs w:val="18"/>
              </w:rPr>
              <w:t>ELIGIBLE (91.8)</w:t>
            </w:r>
          </w:p>
        </w:tc>
        <w:tc>
          <w:tcPr>
            <w:tcW w:w="40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A112B5">
            <w:r>
              <w:rPr>
                <w:rFonts w:ascii="Calibri" w:hAnsi="Calibri" w:eastAsia="Calibri" w:cs="Calibri"/>
                <w:b w:val="0"/>
                <w:bCs w:val="0"/>
                <w:sz w:val="18"/>
                <w:szCs w:val="18"/>
              </w:rPr>
              <w:t>Excellent score lost to a 1-point attendance miss.</w:t>
            </w:r>
          </w:p>
        </w:tc>
      </w:tr>
      <w:tr w14:paraId="0B8B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86B1FAD">
            <w:r>
              <w:rPr>
                <w:rFonts w:ascii="Calibri" w:hAnsi="Calibri" w:eastAsia="Calibri" w:cs="Calibri"/>
                <w:b w:val="0"/>
                <w:bCs w:val="0"/>
                <w:sz w:val="18"/>
                <w:szCs w:val="18"/>
              </w:rPr>
              <w:t>A04</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4898161">
            <w:r>
              <w:rPr>
                <w:rFonts w:ascii="Calibri" w:hAnsi="Calibri" w:eastAsia="Calibri" w:cs="Calibri"/>
                <w:b w:val="0"/>
                <w:bCs w:val="0"/>
                <w:sz w:val="18"/>
                <w:szCs w:val="18"/>
              </w:rPr>
              <w:t>69 / 98 %</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3A953F">
            <w:r>
              <w:rPr>
                <w:rFonts w:ascii="Calibri" w:hAnsi="Calibri" w:eastAsia="Calibri" w:cs="Calibri"/>
                <w:b w:val="0"/>
                <w:bCs w:val="0"/>
                <w:sz w:val="18"/>
                <w:szCs w:val="18"/>
              </w:rPr>
              <w:t>NO (C1)</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4D97091">
            <w:r>
              <w:rPr>
                <w:rFonts w:ascii="Calibri" w:hAnsi="Calibri" w:eastAsia="Calibri" w:cs="Calibri"/>
                <w:b w:val="0"/>
                <w:bCs w:val="0"/>
                <w:sz w:val="18"/>
                <w:szCs w:val="18"/>
              </w:rPr>
              <w:t>ELIGIBLE (81.0)</w:t>
            </w:r>
          </w:p>
        </w:tc>
        <w:tc>
          <w:tcPr>
            <w:tcW w:w="40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574D7A">
            <w:r>
              <w:rPr>
                <w:rFonts w:ascii="Calibri" w:hAnsi="Calibri" w:eastAsia="Calibri" w:cs="Calibri"/>
                <w:b w:val="0"/>
                <w:bCs w:val="0"/>
                <w:sz w:val="18"/>
                <w:szCs w:val="18"/>
              </w:rPr>
              <w:t>Score 1 point below the cut-off offset by strong attendance.</w:t>
            </w:r>
          </w:p>
        </w:tc>
      </w:tr>
      <w:tr w14:paraId="0903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05D60D">
            <w:r>
              <w:rPr>
                <w:rFonts w:ascii="Calibri" w:hAnsi="Calibri" w:eastAsia="Calibri" w:cs="Calibri"/>
                <w:b w:val="0"/>
                <w:bCs w:val="0"/>
                <w:sz w:val="18"/>
                <w:szCs w:val="18"/>
              </w:rPr>
              <w:t>A06</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DF7B4AA">
            <w:r>
              <w:rPr>
                <w:rFonts w:ascii="Calibri" w:hAnsi="Calibri" w:eastAsia="Calibri" w:cs="Calibri"/>
                <w:b w:val="0"/>
                <w:bCs w:val="0"/>
                <w:sz w:val="18"/>
                <w:szCs w:val="18"/>
              </w:rPr>
              <w:t>85 / 60 %</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3A852BE">
            <w:r>
              <w:rPr>
                <w:rFonts w:ascii="Calibri" w:hAnsi="Calibri" w:eastAsia="Calibri" w:cs="Calibri"/>
                <w:b w:val="0"/>
                <w:bCs w:val="0"/>
                <w:sz w:val="18"/>
                <w:szCs w:val="18"/>
              </w:rPr>
              <w:t>NO (C3)</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03AEDB">
            <w:r>
              <w:rPr>
                <w:rFonts w:ascii="Calibri" w:hAnsi="Calibri" w:eastAsia="Calibri" w:cs="Calibri"/>
                <w:b w:val="0"/>
                <w:bCs w:val="0"/>
                <w:sz w:val="18"/>
                <w:szCs w:val="18"/>
              </w:rPr>
              <w:t>ELIGIBLE (83.0)</w:t>
            </w:r>
          </w:p>
        </w:tc>
        <w:tc>
          <w:tcPr>
            <w:tcW w:w="40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789B512">
            <w:r>
              <w:rPr>
                <w:rFonts w:ascii="Calibri" w:hAnsi="Calibri" w:eastAsia="Calibri" w:cs="Calibri"/>
                <w:b w:val="0"/>
                <w:bCs w:val="0"/>
                <w:sz w:val="18"/>
                <w:szCs w:val="18"/>
              </w:rPr>
              <w:t>High score offsets low attendance under the weighted method.</w:t>
            </w:r>
          </w:p>
        </w:tc>
      </w:tr>
      <w:tr w14:paraId="3FCC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3C10C4C">
            <w:r>
              <w:rPr>
                <w:rFonts w:ascii="Calibri" w:hAnsi="Calibri" w:eastAsia="Calibri" w:cs="Calibri"/>
                <w:b w:val="0"/>
                <w:bCs w:val="0"/>
                <w:sz w:val="18"/>
                <w:szCs w:val="18"/>
              </w:rPr>
              <w:t>A08</w:t>
            </w:r>
          </w:p>
        </w:tc>
        <w:tc>
          <w:tcPr>
            <w:tcW w:w="15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EE5B540">
            <w:r>
              <w:rPr>
                <w:rFonts w:ascii="Calibri" w:hAnsi="Calibri" w:eastAsia="Calibri" w:cs="Calibri"/>
                <w:b w:val="0"/>
                <w:bCs w:val="0"/>
                <w:sz w:val="18"/>
                <w:szCs w:val="18"/>
              </w:rPr>
              <w:t>71 / 76 %</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59FCF75">
            <w:r>
              <w:rPr>
                <w:rFonts w:ascii="Calibri" w:hAnsi="Calibri" w:eastAsia="Calibri" w:cs="Calibri"/>
                <w:b w:val="0"/>
                <w:bCs w:val="0"/>
                <w:sz w:val="18"/>
                <w:szCs w:val="18"/>
              </w:rPr>
              <w:t>ELIGIBLE</w:t>
            </w:r>
          </w:p>
        </w:tc>
        <w:tc>
          <w:tcPr>
            <w:tcW w:w="1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1B42952">
            <w:r>
              <w:rPr>
                <w:rFonts w:ascii="Calibri" w:hAnsi="Calibri" w:eastAsia="Calibri" w:cs="Calibri"/>
                <w:b w:val="0"/>
                <w:bCs w:val="0"/>
                <w:sz w:val="18"/>
                <w:szCs w:val="18"/>
              </w:rPr>
              <w:t>NO (77.8)</w:t>
            </w:r>
          </w:p>
        </w:tc>
        <w:tc>
          <w:tcPr>
            <w:tcW w:w="40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A88F52">
            <w:r>
              <w:rPr>
                <w:rFonts w:ascii="Calibri" w:hAnsi="Calibri" w:eastAsia="Calibri" w:cs="Calibri"/>
                <w:b w:val="0"/>
                <w:bCs w:val="0"/>
                <w:sz w:val="18"/>
                <w:szCs w:val="18"/>
              </w:rPr>
              <w:t>Just above every threshold but just under the composite cut-off.</w:t>
            </w:r>
          </w:p>
        </w:tc>
      </w:tr>
    </w:tbl>
    <w:p w14:paraId="2FDD7556">
      <w:pPr>
        <w:spacing w:before="100" w:after="120"/>
      </w:pPr>
      <w:r>
        <w:rPr>
          <w:rFonts w:ascii="Calibri" w:hAnsi="Calibri" w:eastAsia="Calibri" w:cs="Calibri"/>
        </w:rPr>
        <w:t>Interpretation. The rules are easy to explain and audit ("you failed C3") but are brittle at cut-offs and cannot trade strengths off. The weighted method is smoother but harder to explain to an applicant, and the weights smuggle in a value judgement (how much attendance is worth). Neither is "correct": which one is right is a policy decision, and the table only shows where that decision matters.</w:t>
      </w:r>
    </w:p>
    <w:p w14:paraId="3EB8EA3E">
      <w:pPr>
        <w:pStyle w:val="2"/>
        <w:spacing w:before="280" w:after="120"/>
      </w:pPr>
      <w:r>
        <w:rPr>
          <w:rFonts w:ascii="Calibri" w:hAnsi="Calibri" w:eastAsia="Calibri" w:cs="Calibri"/>
          <w:b/>
          <w:bCs/>
          <w:sz w:val="30"/>
          <w:szCs w:val="30"/>
        </w:rPr>
        <w:t>5. Task 3 – Why passing a conversational test is not general intelligence</w:t>
      </w:r>
    </w:p>
    <w:p w14:paraId="6C2D2ABA">
      <w:pPr>
        <w:spacing w:after="120"/>
      </w:pPr>
      <w:r>
        <w:rPr>
          <w:rFonts w:ascii="Calibri" w:hAnsi="Calibri" w:eastAsia="Calibri" w:cs="Calibri"/>
        </w:rPr>
        <w:t>Scenario: a chatbot, "ScholarBot", answers applicants' questions about the scholarship. Suppose a judge chats with it and cannot tell it from a human clerk. Has it shown general intelligence?</w:t>
      </w:r>
    </w:p>
    <w:p w14:paraId="5F7F6F00">
      <w:pPr>
        <w:pStyle w:val="3"/>
        <w:spacing w:before="200" w:after="100"/>
      </w:pPr>
      <w:r>
        <w:rPr>
          <w:rFonts w:ascii="Calibri" w:hAnsi="Calibri" w:eastAsia="Calibri" w:cs="Calibri"/>
          <w:b/>
          <w:bCs/>
          <w:sz w:val="25"/>
          <w:szCs w:val="25"/>
        </w:rPr>
        <w:t>What the conversational test observes</w:t>
      </w:r>
    </w:p>
    <w:p w14:paraId="081691F8">
      <w:pPr>
        <w:spacing w:after="120"/>
      </w:pPr>
      <w:r>
        <w:rPr>
          <w:rFonts w:ascii="Calibri" w:hAnsi="Calibri" w:eastAsia="Calibri" w:cs="Calibri"/>
        </w:rPr>
        <w:t>Turing's imitation game (1950) observes only whether, in a text conversation of limited length chosen by a judge, a machine's replies are indistinguishable from a person's. In the scholarship case that means the replies sound natural, polite and plausible.</w:t>
      </w:r>
    </w:p>
    <w:p w14:paraId="5CC364C1">
      <w:pPr>
        <w:pStyle w:val="3"/>
        <w:spacing w:before="200" w:after="100"/>
      </w:pPr>
      <w:r>
        <w:rPr>
          <w:rFonts w:ascii="Calibri" w:hAnsi="Calibri" w:eastAsia="Calibri" w:cs="Calibri"/>
          <w:b/>
          <w:bCs/>
          <w:sz w:val="25"/>
          <w:szCs w:val="25"/>
        </w:rPr>
        <w:t>What it does not establish</w:t>
      </w:r>
    </w:p>
    <w:p w14:paraId="39DA88B1">
      <w:pPr>
        <w:pStyle w:val="16"/>
        <w:numPr>
          <w:ilvl w:val="0"/>
          <w:numId w:val="1"/>
        </w:numPr>
        <w:spacing w:after="80"/>
      </w:pPr>
      <w:r>
        <w:rPr>
          <w:rFonts w:ascii="Calibri" w:hAnsi="Calibri" w:eastAsia="Calibri" w:cs="Calibri"/>
        </w:rPr>
        <w:t>Correctness: sounding right is not being right about the eligibility rules.</w:t>
      </w:r>
    </w:p>
    <w:p w14:paraId="160AEB24">
      <w:pPr>
        <w:pStyle w:val="16"/>
        <w:numPr>
          <w:ilvl w:val="0"/>
          <w:numId w:val="1"/>
        </w:numPr>
        <w:spacing w:after="80"/>
      </w:pPr>
      <w:r>
        <w:rPr>
          <w:rFonts w:ascii="Calibri" w:hAnsi="Calibri" w:eastAsia="Calibri" w:cs="Calibri"/>
        </w:rPr>
        <w:t>Consistency and reliability: one convincing chat says nothing about whether the same question gets the same answer tomorrow, or when worded differently.</w:t>
      </w:r>
    </w:p>
    <w:p w14:paraId="30E66287">
      <w:pPr>
        <w:pStyle w:val="16"/>
        <w:numPr>
          <w:ilvl w:val="0"/>
          <w:numId w:val="1"/>
        </w:numPr>
        <w:spacing w:after="80"/>
      </w:pPr>
      <w:r>
        <w:rPr>
          <w:rFonts w:ascii="Calibri" w:hAnsi="Calibri" w:eastAsia="Calibri" w:cs="Calibri"/>
        </w:rPr>
        <w:t>Generality: success in one conversation does not show competence across different tasks, domains or physical situations.</w:t>
      </w:r>
    </w:p>
    <w:p w14:paraId="7E85A52D">
      <w:pPr>
        <w:pStyle w:val="16"/>
        <w:numPr>
          <w:ilvl w:val="0"/>
          <w:numId w:val="1"/>
        </w:numPr>
        <w:spacing w:after="80"/>
      </w:pPr>
      <w:r>
        <w:rPr>
          <w:rFonts w:ascii="Calibri" w:hAnsi="Calibri" w:eastAsia="Calibri" w:cs="Calibri"/>
        </w:rPr>
        <w:t>Understanding: ELIZA (Weizenbaum, 1966) used simple pattern matching yet led many users to attribute understanding to it, and Searle's Chinese-room argument (1980) claims that producing fitting symbols is not the same as understanding them. The test also rewards persuasion and evasion rather than accuracy.</w:t>
      </w:r>
    </w:p>
    <w:p w14:paraId="68B5C021">
      <w:pPr>
        <w:pStyle w:val="3"/>
        <w:spacing w:before="200" w:after="100"/>
      </w:pPr>
      <w:r>
        <w:rPr>
          <w:rFonts w:ascii="Calibri" w:hAnsi="Calibri" w:eastAsia="Calibri" w:cs="Calibri"/>
          <w:b/>
          <w:bCs/>
          <w:sz w:val="25"/>
          <w:szCs w:val="25"/>
        </w:rPr>
        <w:t>Example of fluent but incorrect reasoning</w:t>
      </w:r>
    </w:p>
    <w:p w14:paraId="39A1BCD1">
      <w:pPr>
        <w:spacing w:after="120"/>
      </w:pPr>
      <w:r>
        <w:rPr>
          <w:rFonts w:ascii="Calibri" w:hAnsi="Calibri" w:eastAsia="Calibri" w:cs="Calibri"/>
        </w:rPr>
        <w:t>This is a constructed illustration, not recorded output. An applicant writes: "My score is exactly 70, attendance 75 %, documents complete and no disciplinary case. Am I eligible?" ScholarBot replies: "Thank you for applying! Unfortunately the policy requires a score above 70, so a 70 narrowly misses the cut-off. I would encourage you to try again next year." The answer is fluent, polite and confident, yet it contradicts the rule (score ≥ 70) and our test case T4, which is ELIGIBLE. It would likely pass a "human-sounding" check while giving the applicant a wrong decision. A plausible cause is that the system produces likely-sounding text rather than executing the stated rule; the cause would need to be verified by inspecting the system.</w:t>
      </w:r>
    </w:p>
    <w:p w14:paraId="05146995">
      <w:pPr>
        <w:pStyle w:val="3"/>
        <w:spacing w:before="200" w:after="100"/>
      </w:pPr>
      <w:r>
        <w:rPr>
          <w:rFonts w:ascii="Calibri" w:hAnsi="Calibri" w:eastAsia="Calibri" w:cs="Calibri"/>
          <w:b/>
          <w:bCs/>
          <w:sz w:val="25"/>
          <w:szCs w:val="25"/>
        </w:rPr>
        <w:t>One additional test of reliable task performance</w:t>
      </w:r>
    </w:p>
    <w:p w14:paraId="7E65B004">
      <w:pPr>
        <w:spacing w:after="120"/>
      </w:pPr>
      <w:r>
        <w:rPr>
          <w:rFonts w:ascii="Calibri" w:hAnsi="Calibri" w:eastAsia="Calibri" w:cs="Calibri"/>
        </w:rPr>
        <w:t>Held-out rule-conformance test. Generate a set of synthetic applications (for example 100) from the rule function, deliberately including boundary values (score 69/70/71, attendance 74/75/76) and missing fields, and keep it hidden from whoever built the system. Ask the system for a decision and the rule that decided it, then compare with lab1_rules.evaluate as the answer key. Agreed pass criteria, set in advance: 100 % decision accuracy on boundary cases, the correct failed rule named in every rejection, identical decisions across paraphrased versions of each question, and an explicit "need more information" response for missing fields. This measures what the scholarship task actually requires, not how human the system sounds.</w:t>
      </w:r>
    </w:p>
    <w:p w14:paraId="27D9A95F">
      <w:pPr>
        <w:pStyle w:val="2"/>
        <w:spacing w:before="280" w:after="120"/>
      </w:pPr>
      <w:r>
        <w:rPr>
          <w:rFonts w:ascii="Calibri" w:hAnsi="Calibri" w:eastAsia="Calibri" w:cs="Calibri"/>
          <w:b/>
          <w:bCs/>
          <w:sz w:val="30"/>
          <w:szCs w:val="30"/>
        </w:rPr>
        <w:t>6. Limitations and failure / edge-case analysis</w:t>
      </w:r>
    </w:p>
    <w:p w14:paraId="76B26C1C">
      <w:pPr>
        <w:pStyle w:val="3"/>
        <w:spacing w:before="200" w:after="100"/>
      </w:pPr>
      <w:r>
        <w:rPr>
          <w:rFonts w:ascii="Calibri" w:hAnsi="Calibri" w:eastAsia="Calibri" w:cs="Calibri"/>
          <w:b/>
          <w:bCs/>
          <w:sz w:val="25"/>
          <w:szCs w:val="25"/>
        </w:rPr>
        <w:t>Edge case: A03 (the 74 % attendance applicant)</w:t>
      </w:r>
    </w:p>
    <w:p w14:paraId="240A0199">
      <w:pPr>
        <w:pStyle w:val="16"/>
        <w:numPr>
          <w:ilvl w:val="0"/>
          <w:numId w:val="1"/>
        </w:numPr>
        <w:spacing w:after="80"/>
      </w:pPr>
      <w:r>
        <w:rPr>
          <w:rFonts w:ascii="Calibri" w:hAnsi="Calibri" w:eastAsia="Calibri" w:cs="Calibri"/>
          <w:b/>
          <w:bCs/>
        </w:rPr>
        <w:t xml:space="preserve">Input: </w:t>
      </w:r>
      <w:r>
        <w:rPr>
          <w:rFonts w:ascii="Calibri" w:hAnsi="Calibri" w:eastAsia="Calibri" w:cs="Calibri"/>
        </w:rPr>
        <w:t>score 95, documents complete, attendance 74 %, conduct clear.</w:t>
      </w:r>
    </w:p>
    <w:p w14:paraId="32B71691">
      <w:pPr>
        <w:pStyle w:val="16"/>
        <w:numPr>
          <w:ilvl w:val="0"/>
          <w:numId w:val="1"/>
        </w:numPr>
        <w:spacing w:after="80"/>
      </w:pPr>
      <w:r>
        <w:rPr>
          <w:rFonts w:ascii="Calibri" w:hAnsi="Calibri" w:eastAsia="Calibri" w:cs="Calibri"/>
          <w:b/>
          <w:bCs/>
        </w:rPr>
        <w:t xml:space="preserve">Observed behavior: </w:t>
      </w:r>
      <w:r>
        <w:rPr>
          <w:rFonts w:ascii="Calibri" w:hAnsi="Calibri" w:eastAsia="Calibri" w:cs="Calibri"/>
        </w:rPr>
        <w:t>rule-based result NOT ELIGIBLE (C3_attendance_minimum failed); the weighted method gives ELIGIBLE (composite 91.8).</w:t>
      </w:r>
    </w:p>
    <w:p w14:paraId="1BBC00FA">
      <w:pPr>
        <w:pStyle w:val="16"/>
        <w:numPr>
          <w:ilvl w:val="0"/>
          <w:numId w:val="1"/>
        </w:numPr>
        <w:spacing w:after="80"/>
      </w:pPr>
      <w:r>
        <w:rPr>
          <w:rFonts w:ascii="Calibri" w:hAnsi="Calibri" w:eastAsia="Calibri" w:cs="Calibri"/>
          <w:b/>
          <w:bCs/>
        </w:rPr>
        <w:t xml:space="preserve">Likely cause: </w:t>
      </w:r>
      <w:r>
        <w:rPr>
          <w:rFonts w:ascii="Calibri" w:hAnsi="Calibri" w:eastAsia="Calibri" w:cs="Calibri"/>
        </w:rPr>
        <w:t>a hard cut-off treats 74 and 75 as categorically different and never lets an outstanding score compensate; attendance records may also contain small measurement errors.</w:t>
      </w:r>
    </w:p>
    <w:p w14:paraId="0A138D59">
      <w:pPr>
        <w:pStyle w:val="16"/>
        <w:numPr>
          <w:ilvl w:val="0"/>
          <w:numId w:val="1"/>
        </w:numPr>
        <w:spacing w:after="80"/>
      </w:pPr>
      <w:r>
        <w:rPr>
          <w:rFonts w:ascii="Calibri" w:hAnsi="Calibri" w:eastAsia="Calibri" w:cs="Calibri"/>
          <w:b/>
          <w:bCs/>
        </w:rPr>
        <w:t xml:space="preserve">Proposed improvement: </w:t>
      </w:r>
      <w:r>
        <w:rPr>
          <w:rFonts w:ascii="Calibri" w:hAnsi="Calibri" w:eastAsia="Calibri" w:cs="Calibri"/>
        </w:rPr>
        <w:t>add a borderline band (for example attendance 70–74.9 with score ≥ 90) that routes to human review rather than automatic rejection, and give an appeals route. The thresholds remain synthetic and would need to be set by the policy owners.</w:t>
      </w:r>
    </w:p>
    <w:p w14:paraId="457F7C83">
      <w:pPr>
        <w:pStyle w:val="3"/>
        <w:spacing w:before="200" w:after="100"/>
      </w:pPr>
      <w:r>
        <w:rPr>
          <w:rFonts w:ascii="Calibri" w:hAnsi="Calibri" w:eastAsia="Calibri" w:cs="Calibri"/>
          <w:b/>
          <w:bCs/>
          <w:sz w:val="25"/>
          <w:szCs w:val="25"/>
        </w:rPr>
        <w:t>Other limitations</w:t>
      </w:r>
    </w:p>
    <w:p w14:paraId="2EACC545">
      <w:pPr>
        <w:pStyle w:val="16"/>
        <w:numPr>
          <w:ilvl w:val="0"/>
          <w:numId w:val="1"/>
        </w:numPr>
        <w:spacing w:after="80"/>
      </w:pPr>
      <w:r>
        <w:rPr>
          <w:rFonts w:ascii="Calibri" w:hAnsi="Calibri" w:eastAsia="Calibri" w:cs="Calibri"/>
        </w:rPr>
        <w:t>Only four test cases and ten invented applicants: they demonstrate logic, not real-world coverage.</w:t>
      </w:r>
    </w:p>
    <w:p w14:paraId="32841405">
      <w:pPr>
        <w:pStyle w:val="16"/>
        <w:numPr>
          <w:ilvl w:val="0"/>
          <w:numId w:val="1"/>
        </w:numPr>
        <w:spacing w:after="80"/>
      </w:pPr>
      <w:r>
        <w:rPr>
          <w:rFonts w:ascii="Calibri" w:hAnsi="Calibri" w:eastAsia="Calibri" w:cs="Calibri"/>
        </w:rPr>
        <w:t>Missing data fails the relevant rule, which is safe but the reason text says "must be ≥ 75" rather than "attendance missing"; a clearer message would help applicants.</w:t>
      </w:r>
    </w:p>
    <w:p w14:paraId="168DC8BF">
      <w:pPr>
        <w:pStyle w:val="16"/>
        <w:numPr>
          <w:ilvl w:val="0"/>
          <w:numId w:val="1"/>
        </w:numPr>
        <w:spacing w:after="80"/>
      </w:pPr>
      <w:r>
        <w:rPr>
          <w:rFonts w:ascii="Calibri" w:hAnsi="Calibri" w:eastAsia="Calibri" w:cs="Calibri"/>
        </w:rPr>
        <w:t>The rules cannot explain why attendance was low (illness, caregiving), so they may treat unlike situations alike.</w:t>
      </w:r>
    </w:p>
    <w:p w14:paraId="679B1B5E">
      <w:pPr>
        <w:pStyle w:val="16"/>
        <w:numPr>
          <w:ilvl w:val="0"/>
          <w:numId w:val="1"/>
        </w:numPr>
        <w:spacing w:after="80"/>
      </w:pPr>
      <w:r>
        <w:rPr>
          <w:rFonts w:ascii="Calibri" w:hAnsi="Calibri" w:eastAsia="Calibri" w:cs="Calibri"/>
        </w:rPr>
        <w:t>The timeline relies on a small number of sources, and AI-winter dates differ between histories.</w:t>
      </w:r>
    </w:p>
    <w:p w14:paraId="01A9C212">
      <w:pPr>
        <w:pStyle w:val="2"/>
        <w:spacing w:before="280" w:after="120"/>
      </w:pPr>
      <w:r>
        <w:rPr>
          <w:rFonts w:ascii="Calibri" w:hAnsi="Calibri" w:eastAsia="Calibri" w:cs="Calibri"/>
          <w:b/>
          <w:bCs/>
          <w:sz w:val="30"/>
          <w:szCs w:val="30"/>
        </w:rPr>
        <w:t>7. Reflection and responsible practice</w:t>
      </w:r>
    </w:p>
    <w:p w14:paraId="78D3DD85">
      <w:pPr>
        <w:spacing w:after="120"/>
      </w:pPr>
      <w:r>
        <w:rPr>
          <w:rFonts w:ascii="Calibri" w:hAnsi="Calibri" w:eastAsia="Calibri" w:cs="Calibri"/>
        </w:rPr>
        <w:t>[Replace with your own reflection; a draft to adapt follows.]</w:t>
      </w:r>
    </w:p>
    <w:p w14:paraId="5407FD77">
      <w:pPr>
        <w:spacing w:after="120"/>
      </w:pPr>
      <w:r>
        <w:rPr>
          <w:rFonts w:ascii="Calibri" w:hAnsi="Calibri" w:eastAsia="Calibri" w:cs="Calibri"/>
        </w:rPr>
        <w:t>Reflection. Writing the rules myself showed how much of "intelligence" in a decision system is really policy written down: every threshold encodes a value judgement. The comparison made clear that explainability and flexibility trade off, and that the boundary tests found the places where they matter most. The historical timeline also taught me that periods of strong claims have been followed by disappointment, so claims should be tied to evidence.</w:t>
      </w:r>
    </w:p>
    <w:p w14:paraId="190196E7">
      <w:pPr>
        <w:pStyle w:val="16"/>
        <w:numPr>
          <w:ilvl w:val="0"/>
          <w:numId w:val="1"/>
        </w:numPr>
        <w:spacing w:after="80"/>
      </w:pPr>
      <w:r>
        <w:rPr>
          <w:rFonts w:ascii="Calibri" w:hAnsi="Calibri" w:eastAsia="Calibri" w:cs="Calibri"/>
        </w:rPr>
        <w:t>Synthetic data only: no real student information, credentials or private data are in the repository.</w:t>
      </w:r>
    </w:p>
    <w:p w14:paraId="6AA05302">
      <w:pPr>
        <w:pStyle w:val="16"/>
        <w:numPr>
          <w:ilvl w:val="0"/>
          <w:numId w:val="1"/>
        </w:numPr>
        <w:spacing w:after="80"/>
      </w:pPr>
      <w:r>
        <w:rPr>
          <w:rFonts w:ascii="Calibri" w:hAnsi="Calibri" w:eastAsia="Calibri" w:cs="Calibri"/>
        </w:rPr>
        <w:t>Fairness and appeals: automated eligibility decisions can disadvantage people; a human review and appeal route should accompany any real use, and criteria such as attendance should be checked for unintended bias.</w:t>
      </w:r>
    </w:p>
    <w:p w14:paraId="6EE6929B">
      <w:pPr>
        <w:pStyle w:val="16"/>
        <w:numPr>
          <w:ilvl w:val="0"/>
          <w:numId w:val="1"/>
        </w:numPr>
        <w:spacing w:after="80"/>
      </w:pPr>
      <w:r>
        <w:rPr>
          <w:rFonts w:ascii="Calibri" w:hAnsi="Calibri" w:eastAsia="Calibri" w:cs="Calibri"/>
        </w:rPr>
        <w:t>Transparency: each decision returns the exact failed rule so applicants can understand and contest it.</w:t>
      </w:r>
    </w:p>
    <w:p w14:paraId="314A86FB">
      <w:pPr>
        <w:pStyle w:val="16"/>
        <w:numPr>
          <w:ilvl w:val="0"/>
          <w:numId w:val="1"/>
        </w:numPr>
        <w:spacing w:after="80"/>
      </w:pPr>
      <w:r>
        <w:rPr>
          <w:rFonts w:ascii="Calibri" w:hAnsi="Calibri" w:eastAsia="Calibri" w:cs="Calibri"/>
        </w:rPr>
        <w:t>Honest claims: thresholds are labelled synthetic; conversational fluency is not treated as evidence of correctness.</w:t>
      </w:r>
    </w:p>
    <w:p w14:paraId="2CE5E954">
      <w:pPr>
        <w:pStyle w:val="16"/>
        <w:numPr>
          <w:ilvl w:val="0"/>
          <w:numId w:val="1"/>
        </w:numPr>
        <w:spacing w:after="80"/>
      </w:pPr>
      <w:r>
        <w:rPr>
          <w:rFonts w:ascii="Calibri" w:hAnsi="Calibri" w:eastAsia="Calibri" w:cs="Calibri"/>
        </w:rPr>
        <w:t>Attribution: sources are cited below; the code is original to this lab apart from the lab example it extends [cite the lab handout/example here].</w:t>
      </w:r>
    </w:p>
    <w:p w14:paraId="1933C431">
      <w:pPr>
        <w:pStyle w:val="16"/>
        <w:numPr>
          <w:ilvl w:val="0"/>
          <w:numId w:val="1"/>
        </w:numPr>
        <w:spacing w:after="80"/>
      </w:pPr>
      <w:r>
        <w:rPr>
          <w:rFonts w:ascii="Calibri" w:hAnsi="Calibri" w:eastAsia="Calibri" w:cs="Calibri"/>
        </w:rPr>
        <w:t>AI-assistance disclosure: [state how you used an AI assistant, e.g. for drafting code and report text, and that you reviewed, ran and verified everything and checked each citation].</w:t>
      </w:r>
    </w:p>
    <w:p w14:paraId="26C67423">
      <w:pPr>
        <w:pStyle w:val="2"/>
        <w:spacing w:before="280" w:after="120"/>
      </w:pPr>
      <w:r>
        <w:rPr>
          <w:rFonts w:ascii="Calibri" w:hAnsi="Calibri" w:eastAsia="Calibri" w:cs="Calibri"/>
          <w:b/>
          <w:bCs/>
          <w:sz w:val="30"/>
          <w:szCs w:val="30"/>
        </w:rPr>
        <w:t>8. References</w:t>
      </w:r>
    </w:p>
    <w:p w14:paraId="4F4F0FA6">
      <w:pPr>
        <w:spacing w:after="80"/>
        <w:ind w:left="360" w:hanging="360"/>
      </w:pPr>
      <w:r>
        <w:rPr>
          <w:rFonts w:ascii="Calibri" w:hAnsi="Calibri" w:eastAsia="Calibri" w:cs="Calibri"/>
          <w:sz w:val="21"/>
          <w:szCs w:val="21"/>
        </w:rPr>
        <w:t>Campbell, M., Hoane, A. J., &amp; Hsu, F. (2002). Deep Blue. Artificial Intelligence, 134(1–2), 57–83.</w:t>
      </w:r>
    </w:p>
    <w:p w14:paraId="43160DF8">
      <w:pPr>
        <w:spacing w:after="80"/>
        <w:ind w:left="360" w:hanging="360"/>
      </w:pPr>
      <w:r>
        <w:rPr>
          <w:rFonts w:ascii="Calibri" w:hAnsi="Calibri" w:eastAsia="Calibri" w:cs="Calibri"/>
          <w:sz w:val="21"/>
          <w:szCs w:val="21"/>
        </w:rPr>
        <w:t>Crevier, D. (1993). AI: The Tumultuous History of the Search for Artificial Intelligence. Basic Books.</w:t>
      </w:r>
    </w:p>
    <w:p w14:paraId="2CE9BE6B">
      <w:pPr>
        <w:spacing w:after="80"/>
        <w:ind w:left="360" w:hanging="360"/>
      </w:pPr>
      <w:r>
        <w:rPr>
          <w:rFonts w:ascii="Calibri" w:hAnsi="Calibri" w:eastAsia="Calibri" w:cs="Calibri"/>
          <w:sz w:val="21"/>
          <w:szCs w:val="21"/>
        </w:rPr>
        <w:t>Deng, J., Dong, W., Socher, R., Li, L.-J., Li, K., &amp; Fei-Fei, L. (2009). ImageNet: A large-scale hierarchical image database. Proc. IEEE CVPR, 248–255.</w:t>
      </w:r>
    </w:p>
    <w:p w14:paraId="646DF39F">
      <w:pPr>
        <w:spacing w:after="80"/>
        <w:ind w:left="360" w:hanging="360"/>
      </w:pPr>
      <w:r>
        <w:rPr>
          <w:rFonts w:ascii="Calibri" w:hAnsi="Calibri" w:eastAsia="Calibri" w:cs="Calibri"/>
          <w:sz w:val="21"/>
          <w:szCs w:val="21"/>
        </w:rPr>
        <w:t>Krizhevsky, A., Sutskever, I., &amp; Hinton, G. E. (2012). ImageNet classification with deep convolutional neural networks. Advances in Neural Information Processing Systems 25, 1097–1105.</w:t>
      </w:r>
    </w:p>
    <w:p w14:paraId="00DBA084">
      <w:pPr>
        <w:spacing w:after="80"/>
        <w:ind w:left="360" w:hanging="360"/>
      </w:pPr>
      <w:r>
        <w:rPr>
          <w:rFonts w:ascii="Calibri" w:hAnsi="Calibri" w:eastAsia="Calibri" w:cs="Calibri"/>
          <w:sz w:val="21"/>
          <w:szCs w:val="21"/>
        </w:rPr>
        <w:t>Lighthill, J. (1973). Artificial Intelligence: A General Survey. In Artificial Intelligence: A Paper Symposium. Science Research Council, London.</w:t>
      </w:r>
    </w:p>
    <w:p w14:paraId="1536CC09">
      <w:pPr>
        <w:spacing w:after="80"/>
        <w:ind w:left="360" w:hanging="360"/>
      </w:pPr>
      <w:r>
        <w:rPr>
          <w:rFonts w:ascii="Calibri" w:hAnsi="Calibri" w:eastAsia="Calibri" w:cs="Calibri"/>
          <w:sz w:val="21"/>
          <w:szCs w:val="21"/>
        </w:rPr>
        <w:t>McCarthy, J., Minsky, M. L., Rochester, N., &amp; Shannon, C. E. (2006). A proposal for the Dartmouth Summer Research Project on Artificial Intelligence, August 31, 1955. AI Magazine, 27(4), 12–14.</w:t>
      </w:r>
    </w:p>
    <w:p w14:paraId="6C687456">
      <w:pPr>
        <w:spacing w:after="80"/>
        <w:ind w:left="360" w:hanging="360"/>
      </w:pPr>
      <w:r>
        <w:rPr>
          <w:rFonts w:ascii="Calibri" w:hAnsi="Calibri" w:eastAsia="Calibri" w:cs="Calibri"/>
          <w:sz w:val="21"/>
          <w:szCs w:val="21"/>
        </w:rPr>
        <w:t>Searle, J. R. (1980). Minds, brains, and programs. Behavioral and Brain Sciences, 3(3), 417–457.</w:t>
      </w:r>
    </w:p>
    <w:p w14:paraId="0CF2FDFF">
      <w:pPr>
        <w:spacing w:after="80"/>
        <w:ind w:left="360" w:hanging="360"/>
      </w:pPr>
      <w:r>
        <w:rPr>
          <w:rFonts w:ascii="Calibri" w:hAnsi="Calibri" w:eastAsia="Calibri" w:cs="Calibri"/>
          <w:sz w:val="21"/>
          <w:szCs w:val="21"/>
        </w:rPr>
        <w:t>Turing, A. M. (1950). Computing machinery and intelligence. Mind, 59(236), 433–460.</w:t>
      </w:r>
    </w:p>
    <w:p w14:paraId="562EC7BD">
      <w:pPr>
        <w:spacing w:after="80"/>
        <w:ind w:left="360" w:hanging="360"/>
      </w:pPr>
      <w:r>
        <w:rPr>
          <w:rFonts w:ascii="Calibri" w:hAnsi="Calibri" w:eastAsia="Calibri" w:cs="Calibri"/>
          <w:sz w:val="21"/>
          <w:szCs w:val="21"/>
        </w:rPr>
        <w:t>Vaswani, A., et al. (2017). Attention is all you need. Advances in Neural Information Processing Systems 30, 5998–6008.</w:t>
      </w:r>
    </w:p>
    <w:p w14:paraId="666FC553">
      <w:pPr>
        <w:spacing w:after="80"/>
        <w:ind w:left="360" w:hanging="360"/>
      </w:pPr>
      <w:r>
        <w:rPr>
          <w:rFonts w:ascii="Calibri" w:hAnsi="Calibri" w:eastAsia="Calibri" w:cs="Calibri"/>
          <w:sz w:val="21"/>
          <w:szCs w:val="21"/>
        </w:rPr>
        <w:t>Weizenbaum, J. (1966). ELIZA – a computer program for the study of natural language communication between man and machine. Communications of the ACM, 9(1), 36–45.</w:t>
      </w:r>
    </w:p>
    <w:p w14:paraId="213C8D2E">
      <w:pPr>
        <w:pStyle w:val="2"/>
        <w:spacing w:before="280" w:after="120"/>
      </w:pPr>
      <w:r>
        <w:rPr>
          <w:rFonts w:ascii="Calibri" w:hAnsi="Calibri" w:eastAsia="Calibri" w:cs="Calibri"/>
          <w:b/>
          <w:bCs/>
          <w:sz w:val="30"/>
          <w:szCs w:val="30"/>
        </w:rPr>
        <w:t>Appendix: reproduce the results</w:t>
      </w:r>
    </w:p>
    <w:p w14:paraId="33A22D68">
      <w:pPr>
        <w:spacing w:after="120"/>
      </w:pPr>
      <w:r>
        <w:rPr>
          <w:rFonts w:ascii="Calibri" w:hAnsi="Calibri" w:eastAsia="Calibri" w:cs="Calibri"/>
        </w:rPr>
        <w:t>From the lab1 folder run: python3 lab1_rules.py and python3 lab1_compare.py (standard library only). Captured outputs are in outputs/.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A213F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2046</Words>
  <Characters>11387</Characters>
  <TotalTime>1</TotalTime>
  <ScaleCrop>false</ScaleCrop>
  <LinksUpToDate>false</LinksUpToDate>
  <CharactersWithSpaces>13289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2026-10-13T12:52:00Z</dcterms:created>
  <dc:creator>Un-named</dc:creator>
  <cp:lastModifiedBy>Hamza Bhullar</cp:lastModifiedBy>
  <dcterms:modified xsi:type="dcterms:W3CDTF">2026-10-13T12:58:29Z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eyJoZGlkIjoiMWMxYTBmM2ExNDA5MTI5NmEwNjA4YTk5MmRmY2Y2MzgiLCJ1c2VySWQiOiIxOTI0MTQ4MTU0MjI3In0=</vt:lpwstr>
  </property>
  <property fmtid="{D5CDD505-2E9C-101B-9397-08002B2CF9AE}" pid="3" name="KSOProductBuildVer">
    <vt:lpwstr>1033-12.1.0.29162</vt:lpwstr>
  </property>
  <property fmtid="{D5CDD505-2E9C-101B-9397-08002B2CF9AE}" pid="4" name="ICV">
    <vt:lpwstr>681B610D03B34334B03724B973F9633E_12</vt:lpwstr>
  </property>
</Properties>
</file>