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仿宋_GB2312" w:eastAsia="仿宋_GB2312"/>
          <w:b/>
          <w:sz w:val="28"/>
          <w:szCs w:val="28"/>
        </w:rPr>
        <w:t>机自系研究生毕业（学位）论文评议表</w:t>
      </w:r>
    </w:p>
    <w:p/>
    <w:tbl>
      <w:tblPr>
        <w:tblStyle w:val="2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487"/>
        <w:gridCol w:w="1590"/>
        <w:gridCol w:w="129"/>
        <w:gridCol w:w="475"/>
        <w:gridCol w:w="808"/>
        <w:gridCol w:w="1489"/>
        <w:gridCol w:w="2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815" w:type="pc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论文题目</w:t>
            </w:r>
          </w:p>
        </w:tc>
        <w:tc>
          <w:tcPr>
            <w:tcW w:w="2048" w:type="pct"/>
            <w:gridSpan w:val="5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磨料射流切缝形貌3D表征方法</w:t>
            </w:r>
          </w:p>
        </w:tc>
        <w:tc>
          <w:tcPr>
            <w:tcW w:w="873" w:type="pc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专业</w:t>
            </w:r>
          </w:p>
        </w:tc>
        <w:tc>
          <w:tcPr>
            <w:tcW w:w="1261" w:type="pc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机械制造及其自动化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815" w:type="pct"/>
            <w:vAlign w:val="center"/>
          </w:tcPr>
          <w:p>
            <w:pPr>
              <w:spacing w:line="28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攻读学位</w:t>
            </w:r>
          </w:p>
        </w:tc>
        <w:tc>
          <w:tcPr>
            <w:tcW w:w="1219" w:type="pct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Segoe UI Emoji" w:hAnsi="Segoe UI Emoji" w:cs="Segoe UI Emoji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☑</w:t>
            </w:r>
            <w:r>
              <w:rPr>
                <w:rFonts w:hint="eastAsia" w:ascii="宋体" w:hAnsi="宋体"/>
                <w:sz w:val="24"/>
              </w:rPr>
              <w:t>学术型硕士</w:t>
            </w:r>
          </w:p>
        </w:tc>
        <w:tc>
          <w:tcPr>
            <w:tcW w:w="1703" w:type="pct"/>
            <w:gridSpan w:val="4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sym w:font="Wingdings 2" w:char="00A3"/>
            </w:r>
            <w:r>
              <w:rPr>
                <w:rFonts w:hint="eastAsia" w:ascii="仿宋_GB2312" w:eastAsia="仿宋_GB2312"/>
                <w:sz w:val="24"/>
              </w:rPr>
              <w:t>专业型硕士</w:t>
            </w:r>
          </w:p>
        </w:tc>
        <w:tc>
          <w:tcPr>
            <w:tcW w:w="1261" w:type="pct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sym w:font="Wingdings 2" w:char="00A3"/>
            </w:r>
            <w:r>
              <w:rPr>
                <w:rFonts w:hint="eastAsia" w:ascii="仿宋_GB2312" w:eastAsia="仿宋_GB2312"/>
                <w:sz w:val="24"/>
              </w:rPr>
              <w:t>博士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5000" w:type="pct"/>
            <w:gridSpan w:val="8"/>
          </w:tcPr>
          <w:p>
            <w:pPr>
              <w:spacing w:line="400" w:lineRule="exact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以下内容由评审专家填写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" w:hRule="atLeast"/>
          <w:jc w:val="center"/>
        </w:trPr>
        <w:tc>
          <w:tcPr>
            <w:tcW w:w="815" w:type="pc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评价指标</w:t>
            </w:r>
          </w:p>
        </w:tc>
        <w:tc>
          <w:tcPr>
            <w:tcW w:w="2922" w:type="pct"/>
            <w:gridSpan w:val="6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评价要素</w:t>
            </w:r>
          </w:p>
        </w:tc>
        <w:tc>
          <w:tcPr>
            <w:tcW w:w="1261" w:type="pct"/>
            <w:vAlign w:val="center"/>
          </w:tcPr>
          <w:p>
            <w:pPr>
              <w:tabs>
                <w:tab w:val="left" w:pos="585"/>
              </w:tabs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评价等级（A-E）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  <w:jc w:val="center"/>
        </w:trPr>
        <w:tc>
          <w:tcPr>
            <w:tcW w:w="815" w:type="pc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选题</w:t>
            </w:r>
          </w:p>
        </w:tc>
        <w:tc>
          <w:tcPr>
            <w:tcW w:w="2922" w:type="pct"/>
            <w:gridSpan w:val="6"/>
            <w:vAlign w:val="center"/>
          </w:tcPr>
          <w:p>
            <w:pPr>
              <w:spacing w:line="32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选题对国民经济、科技发展的理论意义或实用价值，具有新意和开创性；对国内外相关领域研究现状的归纳、总结与分析情况</w:t>
            </w:r>
          </w:p>
        </w:tc>
        <w:tc>
          <w:tcPr>
            <w:tcW w:w="1261" w:type="pc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  <w:jc w:val="center"/>
        </w:trPr>
        <w:tc>
          <w:tcPr>
            <w:tcW w:w="815" w:type="pc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创新性</w:t>
            </w:r>
          </w:p>
        </w:tc>
        <w:tc>
          <w:tcPr>
            <w:tcW w:w="2922" w:type="pct"/>
            <w:gridSpan w:val="6"/>
            <w:vAlign w:val="center"/>
          </w:tcPr>
          <w:p>
            <w:pPr>
              <w:spacing w:line="32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在理论方法或技术上运用新视角、新方法、新技术进行探索研究，有独到的见解</w:t>
            </w:r>
          </w:p>
        </w:tc>
        <w:tc>
          <w:tcPr>
            <w:tcW w:w="1261" w:type="pc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  <w:jc w:val="center"/>
        </w:trPr>
        <w:tc>
          <w:tcPr>
            <w:tcW w:w="815" w:type="pc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学术性</w:t>
            </w:r>
          </w:p>
        </w:tc>
        <w:tc>
          <w:tcPr>
            <w:tcW w:w="2922" w:type="pct"/>
            <w:gridSpan w:val="6"/>
            <w:vAlign w:val="center"/>
          </w:tcPr>
          <w:p>
            <w:pPr>
              <w:spacing w:line="40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论文的学术意义；研究难度；研究方法的科学性；论文所体现的独立从事科学研究能力</w:t>
            </w:r>
          </w:p>
        </w:tc>
        <w:tc>
          <w:tcPr>
            <w:tcW w:w="1261" w:type="pc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  <w:jc w:val="center"/>
        </w:trPr>
        <w:tc>
          <w:tcPr>
            <w:tcW w:w="815" w:type="pc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应用性</w:t>
            </w:r>
          </w:p>
        </w:tc>
        <w:tc>
          <w:tcPr>
            <w:tcW w:w="2922" w:type="pct"/>
            <w:gridSpan w:val="6"/>
            <w:vAlign w:val="center"/>
          </w:tcPr>
          <w:p>
            <w:pPr>
              <w:spacing w:line="32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论文成果的社会、经济效益和潜在的应用价值</w:t>
            </w:r>
          </w:p>
        </w:tc>
        <w:tc>
          <w:tcPr>
            <w:tcW w:w="1261" w:type="pc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  <w:jc w:val="center"/>
        </w:trPr>
        <w:tc>
          <w:tcPr>
            <w:tcW w:w="815" w:type="pc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规范性</w:t>
            </w:r>
          </w:p>
        </w:tc>
        <w:tc>
          <w:tcPr>
            <w:tcW w:w="2922" w:type="pct"/>
            <w:gridSpan w:val="6"/>
            <w:vAlign w:val="center"/>
          </w:tcPr>
          <w:p>
            <w:pPr>
              <w:spacing w:line="32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格式规范，撰写严谨，引文正确，论文结构逻辑合理；文字表述准确流畅</w:t>
            </w:r>
          </w:p>
        </w:tc>
        <w:tc>
          <w:tcPr>
            <w:tcW w:w="1261" w:type="pc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101" w:type="pct"/>
            <w:gridSpan w:val="2"/>
            <w:vAlign w:val="center"/>
          </w:tcPr>
          <w:p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1288" w:type="pct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48" w:type="pct"/>
            <w:gridSpan w:val="2"/>
            <w:vAlign w:val="center"/>
          </w:tcPr>
          <w:p>
            <w:pPr>
              <w:spacing w:line="40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总 评 分（百分制）</w:t>
            </w:r>
          </w:p>
        </w:tc>
        <w:tc>
          <w:tcPr>
            <w:tcW w:w="1261" w:type="pct"/>
            <w:vAlign w:val="center"/>
          </w:tcPr>
          <w:p>
            <w:pPr>
              <w:spacing w:line="400" w:lineRule="exact"/>
              <w:jc w:val="center"/>
              <w:rPr>
                <w:rFonts w:hint="default" w:ascii="仿宋_GB2312" w:eastAsia="仿宋_GB2312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815" w:type="pct"/>
            <w:vMerge w:val="restar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评审结果</w:t>
            </w:r>
          </w:p>
        </w:tc>
        <w:tc>
          <w:tcPr>
            <w:tcW w:w="1295" w:type="pct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通过</w:t>
            </w:r>
          </w:p>
        </w:tc>
        <w:tc>
          <w:tcPr>
            <w:tcW w:w="2888" w:type="pct"/>
            <w:gridSpan w:val="4"/>
            <w:vAlign w:val="center"/>
          </w:tcPr>
          <w:p>
            <w:pPr>
              <w:spacing w:line="400" w:lineRule="exact"/>
              <w:rPr>
                <w:rFonts w:hint="eastAsia" w:ascii="仿宋_GB2312" w:eastAsiaTheme="minorEastAsia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815" w:type="pct"/>
            <w:vMerge w:val="continue"/>
            <w:vAlign w:val="center"/>
          </w:tcPr>
          <w:p>
            <w:pPr>
              <w:spacing w:line="400" w:lineRule="exact"/>
              <w:ind w:firstLine="210" w:firstLineChars="100"/>
            </w:pPr>
          </w:p>
        </w:tc>
        <w:tc>
          <w:tcPr>
            <w:tcW w:w="1295" w:type="pct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建议修改时间</w:t>
            </w:r>
          </w:p>
        </w:tc>
        <w:tc>
          <w:tcPr>
            <w:tcW w:w="2888" w:type="pct"/>
            <w:gridSpan w:val="4"/>
            <w:vAlign w:val="center"/>
          </w:tcPr>
          <w:p>
            <w:pPr>
              <w:spacing w:line="40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□</w:t>
            </w:r>
            <w:r>
              <w:rPr>
                <w:rFonts w:hint="eastAsia" w:ascii="Times New Roman" w:hAnsi="Times New Roman" w:eastAsia="仿宋_GB2312" w:cs="Times New Roman"/>
                <w:sz w:val="24"/>
                <w:lang w:val="en-US" w:eastAsia="zh-CN"/>
              </w:rPr>
              <w:t>2</w:t>
            </w:r>
            <w:r>
              <w:rPr>
                <w:rFonts w:ascii="Times New Roman" w:hAnsi="Times New Roman" w:eastAsia="仿宋_GB2312" w:cs="Times New Roman"/>
                <w:sz w:val="24"/>
              </w:rPr>
              <w:t>～</w:t>
            </w:r>
            <w:r>
              <w:rPr>
                <w:rFonts w:hint="eastAsia" w:ascii="Times New Roman" w:hAnsi="Times New Roman" w:eastAsia="仿宋_GB2312" w:cs="Times New Roman"/>
                <w:sz w:val="24"/>
                <w:lang w:val="en-US" w:eastAsia="zh-CN"/>
              </w:rPr>
              <w:t>4</w:t>
            </w:r>
            <w:r>
              <w:rPr>
                <w:rFonts w:ascii="Times New Roman" w:hAnsi="Times New Roman" w:eastAsia="仿宋_GB2312" w:cs="Times New Roman"/>
                <w:sz w:val="24"/>
              </w:rPr>
              <w:t>周</w:t>
            </w:r>
            <w:r>
              <w:rPr>
                <w:rFonts w:hint="eastAsia" w:ascii="Times New Roman" w:hAnsi="Times New Roman" w:eastAsia="仿宋_GB2312" w:cs="Times New Roman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  <w:lang w:eastAsia="zh-CN"/>
              </w:rPr>
              <w:t>□</w:t>
            </w:r>
            <w:r>
              <w:rPr>
                <w:rFonts w:ascii="Times New Roman" w:hAnsi="Times New Roman" w:eastAsia="仿宋_GB2312" w:cs="Times New Roman"/>
                <w:sz w:val="24"/>
              </w:rPr>
              <w:t xml:space="preserve">4～8周  </w:t>
            </w:r>
            <w:r>
              <w:rPr>
                <w:rFonts w:hint="eastAsia" w:ascii="宋体" w:hAnsi="宋体"/>
                <w:sz w:val="24"/>
                <w:lang w:eastAsia="zh-CN"/>
              </w:rPr>
              <w:t>□</w:t>
            </w:r>
            <w:r>
              <w:rPr>
                <w:rFonts w:ascii="Times New Roman" w:hAnsi="Times New Roman" w:eastAsia="仿宋_GB2312" w:cs="Times New Roman"/>
                <w:sz w:val="24"/>
              </w:rPr>
              <w:t xml:space="preserve">8～12周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815" w:type="pct"/>
            <w:vMerge w:val="continue"/>
            <w:vAlign w:val="center"/>
          </w:tcPr>
          <w:p>
            <w:pPr>
              <w:spacing w:line="400" w:lineRule="exact"/>
            </w:pPr>
          </w:p>
        </w:tc>
        <w:tc>
          <w:tcPr>
            <w:tcW w:w="1295" w:type="pct"/>
            <w:gridSpan w:val="3"/>
            <w:vAlign w:val="center"/>
          </w:tcPr>
          <w:p>
            <w:pPr>
              <w:spacing w:line="400" w:lineRule="exact"/>
              <w:jc w:val="center"/>
            </w:pPr>
            <w:r>
              <w:rPr>
                <w:rFonts w:hint="eastAsia" w:ascii="仿宋_GB2312" w:eastAsia="仿宋_GB2312"/>
                <w:sz w:val="24"/>
              </w:rPr>
              <w:t>不通过</w:t>
            </w:r>
          </w:p>
        </w:tc>
        <w:tc>
          <w:tcPr>
            <w:tcW w:w="2888" w:type="pct"/>
            <w:gridSpan w:val="4"/>
            <w:vAlign w:val="center"/>
          </w:tcPr>
          <w:p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15" w:type="pct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评阅人</w:t>
            </w:r>
          </w:p>
          <w:p>
            <w:pPr>
              <w:spacing w:line="400" w:lineRule="exact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签名</w:t>
            </w:r>
          </w:p>
        </w:tc>
        <w:tc>
          <w:tcPr>
            <w:tcW w:w="4184" w:type="pct"/>
            <w:gridSpan w:val="7"/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/>
                <w:sz w:val="24"/>
              </w:rPr>
            </w:pPr>
          </w:p>
        </w:tc>
      </w:tr>
    </w:tbl>
    <w:p/>
    <w:p/>
    <w:p>
      <w:pPr>
        <w:spacing w:line="600" w:lineRule="exact"/>
        <w:rPr>
          <w:rFonts w:ascii="仿宋_GB2312" w:eastAsia="仿宋_GB2312"/>
          <w:b/>
          <w:sz w:val="32"/>
          <w:szCs w:val="32"/>
        </w:rPr>
      </w:pPr>
      <w:bookmarkStart w:id="0" w:name="_GoBack"/>
      <w:bookmarkEnd w:id="0"/>
      <w:r>
        <w:rPr>
          <w:rFonts w:hint="eastAsia" w:ascii="仿宋_GB2312" w:eastAsia="仿宋_GB2312"/>
          <w:b/>
          <w:sz w:val="32"/>
          <w:szCs w:val="32"/>
        </w:rPr>
        <w:t>专家评语（可另附页）</w:t>
      </w:r>
    </w:p>
    <w:p>
      <w:pPr>
        <w:pStyle w:val="4"/>
      </w:pPr>
      <w:r>
        <w:rPr>
          <w:rFonts w:hint="eastAsia" w:ascii="仿宋_GB2312" w:eastAsia="仿宋_GB2312"/>
          <w:b/>
          <w:sz w:val="32"/>
          <w:szCs w:val="32"/>
        </w:rPr>
        <w:t>（请对论文的</w:t>
      </w:r>
      <w:r>
        <w:t>窗体顶端</w:t>
      </w:r>
    </w:p>
    <w:p>
      <w:pPr>
        <w:pStyle w:val="4"/>
      </w:pPr>
      <w:r>
        <w:t>窗体顶端</w:t>
      </w:r>
    </w:p>
    <w:p>
      <w:pPr>
        <w:pStyle w:val="4"/>
      </w:pPr>
      <w:r>
        <w:t>窗体顶端</w:t>
      </w:r>
    </w:p>
    <w:p>
      <w:pPr>
        <w:widowControl/>
        <w:spacing w:before="150" w:after="150"/>
        <w:ind w:left="150" w:right="150"/>
        <w:jc w:val="left"/>
        <w:textAlignment w:val="center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对学位论文的学术评语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（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请对论文的学术水平、创新性做出简要评述，包括选题意义、论文创新点、学科知识的掌握、写作规范性和逻辑性等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进行评价。）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</w:rPr>
        <w:t>磨料水射流技术对航空航天、国防军工等领域特殊材料、复杂零部件加工具有独特的优势。但将其纳入关键领域的加工体系依然存在许多问题亟待解决。本文提出：磨料射流复杂切割工况下切割材料时切缝形貌的描述不够，进而无法实现对切缝误差特征进行准确的预测和补偿，是阻碍该技术成熟应用的重要原因之一。为此，作者提出了基于切缝形貌三维表征数据的补偿方法来改进切缝误差，并通过实验观察、对比分析等方法证明了该技术能够有效地提高样件的加工质量。本论文面向领域关键技术难题开展研究，</w:t>
      </w:r>
      <w:r>
        <w:rPr>
          <w:rFonts w:ascii="宋体" w:hAnsi="宋体" w:cs="宋体"/>
          <w:sz w:val="24"/>
        </w:rPr>
        <w:t>具有较高的科学价值和较强的工程应用前景</w:t>
      </w:r>
      <w:r>
        <w:rPr>
          <w:rFonts w:hint="eastAsia" w:ascii="宋体" w:hAnsi="宋体" w:cs="宋体"/>
          <w:sz w:val="24"/>
        </w:rPr>
        <w:t>,</w:t>
      </w:r>
      <w:r>
        <w:rPr>
          <w:rFonts w:ascii="宋体" w:hAnsi="宋体" w:cs="宋体"/>
          <w:sz w:val="24"/>
        </w:rPr>
        <w:t xml:space="preserve"> 将为</w:t>
      </w:r>
      <w:r>
        <w:rPr>
          <w:rFonts w:hint="eastAsia" w:ascii="宋体" w:hAnsi="宋体" w:cs="宋体"/>
          <w:sz w:val="24"/>
        </w:rPr>
        <w:t>实现磨料水射流技术在重要领域的成熟应用</w:t>
      </w:r>
      <w:r>
        <w:rPr>
          <w:rFonts w:ascii="宋体" w:hAnsi="宋体" w:cs="宋体"/>
          <w:sz w:val="24"/>
        </w:rPr>
        <w:t>提供良好的理论基础和技术借鉴。</w:t>
      </w:r>
      <w:r>
        <w:rPr>
          <w:rFonts w:hint="eastAsia" w:ascii="宋体" w:hAnsi="宋体" w:cs="宋体"/>
          <w:sz w:val="24"/>
        </w:rPr>
        <w:t>论文内容反映作者已掌握本专业的研究方法和技能，具备了本门学科需要的基础理论和系统的专业知识。</w:t>
      </w:r>
      <w:r>
        <w:rPr>
          <w:rFonts w:ascii="宋体" w:hAnsi="宋体" w:cs="宋体"/>
          <w:sz w:val="24"/>
        </w:rPr>
        <w:t>研究方</w:t>
      </w:r>
      <w:r>
        <w:rPr>
          <w:rFonts w:hint="eastAsia" w:ascii="宋体" w:hAnsi="宋体" w:cs="宋体"/>
          <w:sz w:val="24"/>
        </w:rPr>
        <w:t>案清晰合理</w:t>
      </w:r>
      <w:r>
        <w:rPr>
          <w:rFonts w:ascii="宋体" w:hAnsi="宋体" w:cs="宋体"/>
          <w:sz w:val="24"/>
        </w:rPr>
        <w:t>，</w:t>
      </w:r>
      <w:r>
        <w:rPr>
          <w:rFonts w:hint="eastAsia" w:ascii="宋体" w:hAnsi="宋体" w:cs="宋体"/>
          <w:sz w:val="24"/>
        </w:rPr>
        <w:t>论文写作符合硕士论文规范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cs="宋体"/>
          <w:sz w:val="24"/>
          <w:lang w:eastAsia="zh-CN"/>
        </w:rPr>
      </w:pPr>
    </w:p>
    <w:p>
      <w:pPr>
        <w:pStyle w:val="5"/>
        <w:numPr>
          <w:ilvl w:val="0"/>
          <w:numId w:val="1"/>
        </w:numPr>
        <w:spacing w:line="360" w:lineRule="auto"/>
        <w:ind w:left="357" w:hanging="357" w:firstLineChars="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目前，本文研究只针对碳钢这一金属材料，但在实际应用过程中，磨料水射流技术面向的是多类型不同物理特性材料的加工，因此应开展面向不同材料的对比试验，以更好的说明本文结论。</w:t>
      </w:r>
    </w:p>
    <w:p>
      <w:pPr>
        <w:pStyle w:val="5"/>
        <w:numPr>
          <w:ilvl w:val="0"/>
          <w:numId w:val="1"/>
        </w:numPr>
        <w:spacing w:line="360" w:lineRule="auto"/>
        <w:ind w:left="357" w:hanging="357" w:firstLineChars="0"/>
        <w:jc w:val="left"/>
        <w:rPr>
          <w:rFonts w:ascii="宋体" w:hAnsi="宋体" w:cs="宋体"/>
          <w:sz w:val="24"/>
        </w:rPr>
      </w:pPr>
      <w:r>
        <w:rPr>
          <w:rFonts w:hint="eastAsia" w:ascii="宋体" w:hAnsi="Times New Roman" w:eastAsia="宋体" w:cs="宋体"/>
          <w:kern w:val="0"/>
          <w:sz w:val="24"/>
          <w:szCs w:val="24"/>
        </w:rPr>
        <w:t>本文</w:t>
      </w:r>
      <w:r>
        <w:rPr>
          <w:rFonts w:hint="eastAsia" w:ascii="宋体" w:hAnsi="Times New Roman" w:eastAsia="宋体" w:cs="宋体"/>
          <w:kern w:val="0"/>
          <w:sz w:val="24"/>
          <w:szCs w:val="24"/>
          <w:lang w:val="en-US" w:eastAsia="zh-CN"/>
        </w:rPr>
        <w:t>第四章中对水射流切缝形貌提取方法的设计思路先进，提取步骤规范，并且数据的拟合与前人研究的理论经典相契合，该方法值得借鉴。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cs="宋体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3D397F"/>
    <w:multiLevelType w:val="multilevel"/>
    <w:tmpl w:val="343D397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1D27AD"/>
    <w:rsid w:val="59EA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_Style 3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2021-04-23T08:18:00Z</dcterms:created>
  <dc:creator>windr</dc:creator>
  <cp:lastModifiedBy>windr</cp:lastModifiedBy>
  <dcterms:modified xsi:type="dcterms:W3CDTF">2021-04-23T09:37:52Z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0D7857CF512A4C3994A5507654D97A9A</vt:lpwstr>
  </property>
</Properties>
</file>