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仿宋_GB2312" w:eastAsia="仿宋_GB2312"/>
          <w:b/>
          <w:sz w:val="28"/>
          <w:szCs w:val="28"/>
        </w:rPr>
        <w:t>机自系研究生毕业（学位）论文评议表</w:t>
      </w:r>
    </w:p>
    <w:p/>
    <w:tbl>
      <w:tblPr>
        <w:tblStyle w:val="2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487"/>
        <w:gridCol w:w="1590"/>
        <w:gridCol w:w="129"/>
        <w:gridCol w:w="475"/>
        <w:gridCol w:w="808"/>
        <w:gridCol w:w="1489"/>
        <w:gridCol w:w="2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815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论文题目</w:t>
            </w:r>
          </w:p>
        </w:tc>
        <w:tc>
          <w:tcPr>
            <w:tcW w:w="2048" w:type="pct"/>
            <w:gridSpan w:val="5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磨料射流切缝形貌3D表征方法</w:t>
            </w:r>
          </w:p>
        </w:tc>
        <w:tc>
          <w:tcPr>
            <w:tcW w:w="873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专业</w:t>
            </w:r>
          </w:p>
        </w:tc>
        <w:tc>
          <w:tcPr>
            <w:tcW w:w="1261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机械制造及其自动化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815" w:type="pct"/>
            <w:vAlign w:val="center"/>
          </w:tcPr>
          <w:p>
            <w:pPr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攻读学位</w:t>
            </w:r>
          </w:p>
        </w:tc>
        <w:tc>
          <w:tcPr>
            <w:tcW w:w="1219" w:type="pct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Segoe UI Emoji" w:hAnsi="Segoe UI Emoji" w:cs="Segoe UI Emoj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宋体" w:hAnsi="宋体"/>
                <w:sz w:val="24"/>
              </w:rPr>
              <w:t>学术型硕士</w:t>
            </w:r>
          </w:p>
        </w:tc>
        <w:tc>
          <w:tcPr>
            <w:tcW w:w="1703" w:type="pct"/>
            <w:gridSpan w:val="4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sym w:font="Wingdings 2" w:char="00A3"/>
            </w:r>
            <w:r>
              <w:rPr>
                <w:rFonts w:hint="eastAsia" w:ascii="仿宋_GB2312" w:eastAsia="仿宋_GB2312"/>
                <w:sz w:val="24"/>
              </w:rPr>
              <w:t>专业型硕士</w:t>
            </w:r>
          </w:p>
        </w:tc>
        <w:tc>
          <w:tcPr>
            <w:tcW w:w="1261" w:type="pct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sym w:font="Wingdings 2" w:char="00A3"/>
            </w:r>
            <w:r>
              <w:rPr>
                <w:rFonts w:hint="eastAsia" w:ascii="仿宋_GB2312" w:eastAsia="仿宋_GB2312"/>
                <w:sz w:val="24"/>
              </w:rPr>
              <w:t>博士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5000" w:type="pct"/>
            <w:gridSpan w:val="8"/>
          </w:tcPr>
          <w:p>
            <w:pPr>
              <w:spacing w:line="400" w:lineRule="exac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以下内容由评审专家填写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" w:hRule="atLeast"/>
          <w:jc w:val="center"/>
        </w:trPr>
        <w:tc>
          <w:tcPr>
            <w:tcW w:w="815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评价指标</w:t>
            </w:r>
          </w:p>
        </w:tc>
        <w:tc>
          <w:tcPr>
            <w:tcW w:w="2922" w:type="pct"/>
            <w:gridSpan w:val="6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评价要素</w:t>
            </w:r>
          </w:p>
        </w:tc>
        <w:tc>
          <w:tcPr>
            <w:tcW w:w="1261" w:type="pct"/>
            <w:vAlign w:val="center"/>
          </w:tcPr>
          <w:p>
            <w:pPr>
              <w:tabs>
                <w:tab w:val="left" w:pos="585"/>
              </w:tabs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评价等级（A-E）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815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选题</w:t>
            </w:r>
          </w:p>
        </w:tc>
        <w:tc>
          <w:tcPr>
            <w:tcW w:w="2922" w:type="pct"/>
            <w:gridSpan w:val="6"/>
            <w:vAlign w:val="center"/>
          </w:tcPr>
          <w:p>
            <w:pPr>
              <w:spacing w:line="32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选题对国民经济、科技发展的理论意义或实用价值，具有新意和开创性；对国内外相关领域研究现状的归纳、总结与分析情况</w:t>
            </w:r>
          </w:p>
        </w:tc>
        <w:tc>
          <w:tcPr>
            <w:tcW w:w="1261" w:type="pct"/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eastAsia="仿宋_GB2312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815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创新性</w:t>
            </w:r>
          </w:p>
        </w:tc>
        <w:tc>
          <w:tcPr>
            <w:tcW w:w="2922" w:type="pct"/>
            <w:gridSpan w:val="6"/>
            <w:vAlign w:val="center"/>
          </w:tcPr>
          <w:p>
            <w:pPr>
              <w:spacing w:line="32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在理论方法或技术上运用新视角、新方法、新技术进行探索研究，有独到的见解</w:t>
            </w:r>
          </w:p>
        </w:tc>
        <w:tc>
          <w:tcPr>
            <w:tcW w:w="1261" w:type="pct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815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学术性</w:t>
            </w:r>
          </w:p>
        </w:tc>
        <w:tc>
          <w:tcPr>
            <w:tcW w:w="2922" w:type="pct"/>
            <w:gridSpan w:val="6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论文的学术意义；研究难度；研究方法的科学性；论文所体现的独立从事科学研究能力</w:t>
            </w:r>
          </w:p>
        </w:tc>
        <w:tc>
          <w:tcPr>
            <w:tcW w:w="1261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815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应用性</w:t>
            </w:r>
          </w:p>
        </w:tc>
        <w:tc>
          <w:tcPr>
            <w:tcW w:w="2922" w:type="pct"/>
            <w:gridSpan w:val="6"/>
            <w:vAlign w:val="center"/>
          </w:tcPr>
          <w:p>
            <w:pPr>
              <w:spacing w:line="32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论文成果的社会、经济效益和潜在的应用价值</w:t>
            </w:r>
          </w:p>
        </w:tc>
        <w:tc>
          <w:tcPr>
            <w:tcW w:w="1261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815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规范性</w:t>
            </w:r>
          </w:p>
        </w:tc>
        <w:tc>
          <w:tcPr>
            <w:tcW w:w="2922" w:type="pct"/>
            <w:gridSpan w:val="6"/>
            <w:vAlign w:val="center"/>
          </w:tcPr>
          <w:p>
            <w:pPr>
              <w:spacing w:line="32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格式规范，撰写严谨，引文正确，论文结构逻辑合理；文字表述准确流畅</w:t>
            </w:r>
          </w:p>
        </w:tc>
        <w:tc>
          <w:tcPr>
            <w:tcW w:w="1261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101" w:type="pct"/>
            <w:gridSpan w:val="2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288" w:type="pct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48" w:type="pct"/>
            <w:gridSpan w:val="2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总 评 分（百分制）</w:t>
            </w:r>
          </w:p>
        </w:tc>
        <w:tc>
          <w:tcPr>
            <w:tcW w:w="1261" w:type="pct"/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eastAsia="仿宋_GB2312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815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评审结果</w:t>
            </w:r>
          </w:p>
        </w:tc>
        <w:tc>
          <w:tcPr>
            <w:tcW w:w="1295" w:type="pct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通过</w:t>
            </w:r>
          </w:p>
        </w:tc>
        <w:tc>
          <w:tcPr>
            <w:tcW w:w="2888" w:type="pct"/>
            <w:gridSpan w:val="4"/>
            <w:vAlign w:val="center"/>
          </w:tcPr>
          <w:p>
            <w:pPr>
              <w:spacing w:line="400" w:lineRule="exact"/>
              <w:rPr>
                <w:rFonts w:hint="eastAsia" w:ascii="仿宋_GB2312" w:eastAsiaTheme="minorEastAsia"/>
                <w:sz w:val="24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24"/>
                <w:lang w:eastAsia="zh-CN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815" w:type="pct"/>
            <w:vMerge w:val="continue"/>
            <w:vAlign w:val="center"/>
          </w:tcPr>
          <w:p>
            <w:pPr>
              <w:spacing w:line="400" w:lineRule="exact"/>
              <w:ind w:firstLine="210" w:firstLineChars="100"/>
            </w:pPr>
          </w:p>
        </w:tc>
        <w:tc>
          <w:tcPr>
            <w:tcW w:w="1295" w:type="pct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建议修改时间</w:t>
            </w:r>
          </w:p>
        </w:tc>
        <w:tc>
          <w:tcPr>
            <w:tcW w:w="2888" w:type="pct"/>
            <w:gridSpan w:val="4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□</w:t>
            </w: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2</w:t>
            </w:r>
            <w:r>
              <w:rPr>
                <w:rFonts w:ascii="Times New Roman" w:hAnsi="Times New Roman" w:eastAsia="仿宋_GB2312" w:cs="Times New Roman"/>
                <w:sz w:val="24"/>
              </w:rPr>
              <w:t>～</w:t>
            </w: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4</w:t>
            </w:r>
            <w:r>
              <w:rPr>
                <w:rFonts w:ascii="Times New Roman" w:hAnsi="Times New Roman" w:eastAsia="仿宋_GB2312" w:cs="Times New Roman"/>
                <w:sz w:val="24"/>
              </w:rPr>
              <w:t>周</w:t>
            </w:r>
            <w:r>
              <w:rPr>
                <w:rFonts w:hint="eastAsia" w:ascii="Times New Roman" w:hAnsi="Times New Roman" w:eastAsia="仿宋_GB2312" w:cs="Times New Roman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  <w:lang w:eastAsia="zh-CN"/>
              </w:rPr>
              <w:t>□</w:t>
            </w:r>
            <w:r>
              <w:rPr>
                <w:rFonts w:ascii="Times New Roman" w:hAnsi="Times New Roman" w:eastAsia="仿宋_GB2312" w:cs="Times New Roman"/>
                <w:sz w:val="24"/>
              </w:rPr>
              <w:t xml:space="preserve">4～8周  </w:t>
            </w:r>
            <w:r>
              <w:rPr>
                <w:rFonts w:hint="eastAsia" w:ascii="宋体" w:hAnsi="宋体"/>
                <w:sz w:val="24"/>
                <w:lang w:eastAsia="zh-CN"/>
              </w:rPr>
              <w:t>□</w:t>
            </w:r>
            <w:r>
              <w:rPr>
                <w:rFonts w:ascii="Times New Roman" w:hAnsi="Times New Roman" w:eastAsia="仿宋_GB2312" w:cs="Times New Roman"/>
                <w:sz w:val="24"/>
              </w:rPr>
              <w:t xml:space="preserve">8～12周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815" w:type="pct"/>
            <w:vMerge w:val="continue"/>
            <w:vAlign w:val="center"/>
          </w:tcPr>
          <w:p>
            <w:pPr>
              <w:spacing w:line="400" w:lineRule="exact"/>
            </w:pPr>
          </w:p>
        </w:tc>
        <w:tc>
          <w:tcPr>
            <w:tcW w:w="1295" w:type="pct"/>
            <w:gridSpan w:val="3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 w:ascii="仿宋_GB2312" w:eastAsia="仿宋_GB2312"/>
                <w:sz w:val="24"/>
              </w:rPr>
              <w:t>不通过</w:t>
            </w:r>
          </w:p>
        </w:tc>
        <w:tc>
          <w:tcPr>
            <w:tcW w:w="2888" w:type="pct"/>
            <w:gridSpan w:val="4"/>
            <w:vAlign w:val="center"/>
          </w:tcPr>
          <w:p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15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评阅人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签名</w:t>
            </w:r>
          </w:p>
        </w:tc>
        <w:tc>
          <w:tcPr>
            <w:tcW w:w="4184" w:type="pct"/>
            <w:gridSpan w:val="7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</w:tbl>
    <w:p/>
    <w:p/>
    <w:p>
      <w:pPr>
        <w:spacing w:line="600" w:lineRule="exact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专家评语（可另附页）</w:t>
      </w:r>
    </w:p>
    <w:p>
      <w:pPr>
        <w:pStyle w:val="4"/>
      </w:pPr>
      <w:r>
        <w:rPr>
          <w:rFonts w:hint="eastAsia" w:ascii="仿宋_GB2312" w:eastAsia="仿宋_GB2312"/>
          <w:b/>
          <w:sz w:val="32"/>
          <w:szCs w:val="32"/>
        </w:rPr>
        <w:t>（请对论文的</w:t>
      </w:r>
      <w:r>
        <w:t>窗体顶端</w:t>
      </w:r>
    </w:p>
    <w:p>
      <w:pPr>
        <w:pStyle w:val="4"/>
      </w:pPr>
      <w:r>
        <w:t>窗体顶端</w:t>
      </w:r>
    </w:p>
    <w:p>
      <w:pPr>
        <w:pStyle w:val="4"/>
      </w:pPr>
      <w:r>
        <w:t>窗体顶端</w:t>
      </w:r>
    </w:p>
    <w:p>
      <w:pPr>
        <w:widowControl/>
        <w:spacing w:before="150" w:after="150"/>
        <w:ind w:left="150" w:right="15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对学位论文的学术评语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请对论文的学术水平、创新性做出简要评述，包括选题意义、论文创新点、学科知识的掌握、写作规范性和逻辑性等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进行评价。）</w:t>
      </w:r>
    </w:p>
    <w:p>
      <w:pPr>
        <w:pStyle w:val="6"/>
      </w:pPr>
      <w:r>
        <w:t>窗体顶端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119" w:right="119"/>
        <w:jc w:val="left"/>
        <w:textAlignment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水射流切割是一种冷态切割技术，具有良好的低温特性，加工表面质量高，能够加工不同性质的材料，适用范围广。论文针对磨料射流切割控制难等问题，研究了射流切割过程和形貌，并开展了试验研究，研究结果对提高金属切割质量有重要参考价值。论文研究内容比较全面，研究思路清晰，数据可靠，格式规范，作者掌握了相关基础理论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具有较强的专业基础知识和科学研究能力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pStyle w:val="7"/>
      </w:pPr>
      <w:r>
        <w:t>窗体底端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lang w:eastAsia="zh-CN"/>
        </w:rPr>
      </w:pPr>
    </w:p>
    <w:p>
      <w:pPr>
        <w:pStyle w:val="5"/>
        <w:numPr>
          <w:ilvl w:val="0"/>
          <w:numId w:val="1"/>
        </w:numPr>
        <w:spacing w:line="360" w:lineRule="auto"/>
        <w:ind w:left="357" w:hanging="357"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本文通过螺栓让两个金属块拼在一起作为一个整体，但两者始终存在差异，且对切缝形貌究竟会产生何等程度的影响。作者如果对此做出进一步的阐述研究，会加强文章研究思路的严谨性。</w:t>
      </w:r>
    </w:p>
    <w:p>
      <w:pPr>
        <w:pStyle w:val="5"/>
        <w:numPr>
          <w:ilvl w:val="0"/>
          <w:numId w:val="1"/>
        </w:numPr>
        <w:spacing w:line="360" w:lineRule="auto"/>
        <w:ind w:left="357" w:hanging="357"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本文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en-US" w:eastAsia="zh-CN"/>
        </w:rPr>
        <w:t>基于分离式切割材料的优势，创新性地提出了切缝三维形貌的建构方法，为从事水射流切割质量提升的后继研究者提供了一种更高效、更准确的方法。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3D397F"/>
    <w:multiLevelType w:val="multilevel"/>
    <w:tmpl w:val="343D397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81756"/>
    <w:rsid w:val="216F7145"/>
    <w:rsid w:val="43772C36"/>
    <w:rsid w:val="54664294"/>
    <w:rsid w:val="59EA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3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  <w:style w:type="paragraph" w:customStyle="1" w:styleId="6">
    <w:name w:val="_Style 5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7">
    <w:name w:val="_Style 6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2021-04-23T08:18:00Z</dcterms:created>
  <dc:creator>windr</dc:creator>
  <cp:lastModifiedBy>windr</cp:lastModifiedBy>
  <dcterms:modified xsi:type="dcterms:W3CDTF">2021-04-23T09:38:29Z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422A3987DE93479087DBAA9E22B6B937</vt:lpwstr>
  </property>
</Properties>
</file>