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spacing w:after="0" w:before="1800"/>
      </w:pPr>
      <w:r xmlns:w="http://schemas.openxmlformats.org/wordprocessingml/2006/main">
        <w:rPr>
          <w:rFonts w:ascii="Arial" w:cs="Arial" w:eastAsia="Arial" w:hAnsi="Arial"/>
        </w:rPr>
        <w:t xml:space="preserve"/>
      </w:r>
    </w:p>
    <w:p>
      <w:pPr xmlns:w="http://schemas.openxmlformats.org/wordprocessingml/2006/main">
        <w:spacing w:after="240" w:before="0"/>
        <w:jc w:val="left"/>
      </w:pPr>
      <w:r xmlns:w="http://schemas.openxmlformats.org/wordprocessingml/2006/main">
        <w:rPr>
          <w:rFonts w:ascii="Arial" w:cs="Arial" w:eastAsia="Arial" w:hAnsi="Arial"/>
          <w:b/>
          <w:bCs/>
          <w:color w:val="2E75B6"/>
          <w:spacing w:val="60"/>
          <w:sz w:val="22"/>
          <w:szCs w:val="22"/>
        </w:rPr>
        <w:t xml:space="preserve">AI IMPLEMENTATION METHODOLOGY FOR COMPANIES</w:t>
      </w:r>
    </w:p>
    <w:p>
      <w:pPr xmlns:w="http://schemas.openxmlformats.org/wordprocessingml/2006/main">
        <w:spacing w:after="120" w:before="0"/>
        <w:jc w:val="left"/>
      </w:pPr>
      <w:r xmlns:w="http://schemas.openxmlformats.org/wordprocessingml/2006/main">
        <w:rPr>
          <w:rFonts w:ascii="Arial" w:cs="Arial" w:eastAsia="Arial" w:hAnsi="Arial"/>
          <w:b/>
          <w:bCs/>
          <w:color w:val="6B7280"/>
          <w:sz w:val="28"/>
          <w:szCs w:val="28"/>
        </w:rPr>
        <w:t xml:space="preserve">Module 3</w:t>
      </w:r>
    </w:p>
    <w:p>
      <w:pPr xmlns:w="http://schemas.openxmlformats.org/wordprocessingml/2006/main">
        <w:spacing w:after="0" w:before="0"/>
        <w:jc w:val="left"/>
      </w:pPr>
      <w:r xmlns:w="http://schemas.openxmlformats.org/wordprocessingml/2006/main">
        <w:rPr>
          <w:rFonts w:ascii="Arial" w:cs="Arial" w:eastAsia="Arial" w:hAnsi="Arial"/>
          <w:b/>
          <w:bCs/>
          <w:color w:val="1F3A5F"/>
          <w:sz w:val="72"/>
          <w:szCs w:val="72"/>
        </w:rPr>
        <w:t xml:space="preserve">Portfolio</w:t>
      </w:r>
    </w:p>
    <w:p>
      <w:pPr xmlns:w="http://schemas.openxmlformats.org/wordprocessingml/2006/main">
        <w:spacing w:after="80" w:before="0"/>
        <w:jc w:val="left"/>
      </w:pPr>
      <w:r xmlns:w="http://schemas.openxmlformats.org/wordprocessingml/2006/main">
        <w:rPr>
          <w:rFonts w:ascii="Arial" w:cs="Arial" w:eastAsia="Arial" w:hAnsi="Arial"/>
          <w:b/>
          <w:bCs/>
          <w:color w:val="1F3A5F"/>
          <w:sz w:val="72"/>
          <w:szCs w:val="72"/>
        </w:rPr>
        <w:t xml:space="preserve">innovation</w:t>
      </w:r>
    </w:p>
    <w:p>
      <w:pPr xmlns:w="http://schemas.openxmlformats.org/wordprocessingml/2006/main">
        <w:spacing w:after="480" w:before="80" w:line="360"/>
        <w:jc w:val="left"/>
      </w:pPr>
      <w:r xmlns:w="http://schemas.openxmlformats.org/wordprocessingml/2006/main">
        <w:rPr>
          <w:rFonts w:ascii="Arial" w:cs="Arial" w:eastAsia="Arial" w:hAnsi="Arial"/>
          <w:i/>
          <w:iCs/>
          <w:color w:val="2D2D2D"/>
          <w:sz w:val="28"/>
          <w:szCs w:val="28"/>
        </w:rPr>
        <w:t xml:space="preserve">From candidates to a managed portfolio: how AI investment is prioritized, governed, and measured.</w:t>
      </w:r>
    </w:p>
    <w:p>
      <w:pPr xmlns:w="http://schemas.openxmlformats.org/wordprocessingml/2006/main">
        <w:pBdr>
          <w:bottom w:val="single" w:color="1F3A5F" w:sz="12" w:space="1"/>
        </w:pBdr>
        <w:spacing w:after="240" w:before="120"/>
      </w:pPr>
      <w:r xmlns:w="http://schemas.openxmlformats.org/wordprocessingml/2006/main">
        <w:rPr>
          <w:rFonts w:ascii="Arial" w:cs="Arial" w:eastAsia="Arial" w:hAnsi="Arial"/>
        </w:rPr>
        <w:t xml:space="preserve"> </w:t>
      </w:r>
    </w:p>
    <w:p>
      <w:pPr xmlns:w="http://schemas.openxmlformats.org/wordprocessingml/2006/main">
        <w:spacing w:after="360" w:before="120" w:line="360"/>
      </w:pPr>
      <w:r xmlns:w="http://schemas.openxmlformats.org/wordprocessingml/2006/main">
        <w:rPr>
          <w:rFonts w:ascii="Arial" w:cs="Arial" w:eastAsia="Arial" w:hAnsi="Arial"/>
          <w:color w:val="2D2D2D"/>
          <w:sz w:val="24"/>
          <w:szCs w:val="24"/>
        </w:rPr>
        <w:t xml:space="preserve">Operational technical document geared towards CIO, CTO and CDO. It defines the principles, the two-horizon portfolio architecture, the prioritization system, the governance and the metrics that separate a managed AI portfolio from a set of loose pilots.</w:t>
      </w:r>
    </w:p>
    <w:p>
      <w:pPr xmlns:w="http://schemas.openxmlformats.org/wordprocessingml/2006/main">
        <w:spacing w:after="0" w:before="100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AUDIENCE</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SCOPE</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TOOLS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CIO · CTO · CDO</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Governance, prioritization, metrics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3 templates + board</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spacing w:after="0" w:before="60"/>
        <w:jc w:val="left"/>
      </w:pPr>
      <w:r xmlns:w="http://schemas.openxmlformats.org/wordprocessingml/2006/main">
        <w:rPr>
          <w:rFonts w:ascii="Arial" w:cs="Arial" w:eastAsia="Arial" w:hAnsi="Arial"/>
          <w:color w:val="6B7280"/>
          <w:sz w:val="18"/>
          <w:szCs w:val="18"/>
        </w:rPr>
        <w:t xml:space="preserve">Version 1.0 | Operational Technical Document</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xmlns:w="http://schemas.openxmlformats.org/wordprocessingml/2006/main">
        <w:spacing w:after="40" w:before="60"/>
      </w:pPr>
      <w:r xmlns:w="http://schemas.openxmlformats.org/wordprocessingml/2006/main">
        <w:rPr>
          <w:rFonts w:ascii="Arial" w:cs="Arial" w:eastAsia="Arial" w:hAnsi="Arial"/>
          <w:b/>
          <w:bCs/>
          <w:color w:val="2E75B6"/>
          <w:spacing w:val="40"/>
          <w:sz w:val="18"/>
          <w:szCs w:val="18"/>
        </w:rPr>
        <w:t xml:space="preserve">EXECUTIVE SUMMARY</w:t>
      </w:r>
    </w:p>
    <w:p>
      <w:pPr xmlns:w="http://schemas.openxmlformats.org/wordprocessingml/2006/main">
        <w:pStyle w:val="Heading1"/>
        <w:spacing w:after="240" w:before="0"/>
      </w:pPr>
      <w:r xmlns:w="http://schemas.openxmlformats.org/wordprocessingml/2006/main">
        <w:rPr>
          <w:rFonts w:ascii="Arial" w:cs="Arial" w:eastAsia="Arial" w:hAnsi="Arial"/>
          <w:b/>
          <w:bCs/>
          <w:color w:val="1F3A5F"/>
          <w:sz w:val="36"/>
          <w:szCs w:val="36"/>
        </w:rPr>
        <w:t xml:space="preserve">From candidates to managed portfolio</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Module 2 produces candidates. Module 3 transforms them into a managed portfolio: prioritized, sequenced, funded, governed, and measured. The difference between an organization with a portfolio and one with isolated pilot projects is not one of size; it's one of method.</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What this module delivers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Portfolio architecture in two horizons (Quick Wins and Transformational) with recommended balance.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Prioritization system that takes the output of Module 2 and adds portfolio criteria (capabilities, dependencies, risk concentration).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Governance model with a single AI Committee: composition, pace, decisions, typical agenda.</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Executive portfolio dashboard with 12 metrics in three categories (health, value, risk).</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Three operational templates: project charter, executive business case, and portfolio dashboard.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Financing principles that do not prescribe a model, but limit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The guiding principle</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A well-managed AI portfolio doesn't maximize the number of initiatives; it maximizes the value delivered per dollar invested, relative to the acceptable level of risk. The discipline of deciding when to abandon projects and when to stop launching new ones is just as important as the discipline of selection.</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1. Guiding principles of the portfolio</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These six principles underpin portfolio mechanics. When an operational decision conflicts with a principle, the principle prevails.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1.1 Intentional Concentration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portfolio that opens too many fronts makes no progress on any of them. The rule of thumb: the number of active initiatives at any given time should not exceed the actual operational capacity of the core team plus the functional areas. Greater focus yields better results than greater coverage.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1.2 Reversibility of the allocation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Every dollar invested must be able to be reallocated if the initiative doesn't move forward. This necessitates phased financing, strict gates, and a culture of shutting down initiatives that don't deliver. The portfolio is managed as a set of bets, not a set of promises.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1.3 Deliberate diversification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Concentrating the entire portfolio on a single AI family, area, or time horizon creates dangerous dependencies. Diversification is not accidental: it is decided based on coverage criteria by technology family, impacted area, time horizon, and risk level.</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1.4 Capabilities before cases in H2</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Transformational initiatives (Horizon 2) require capabilities that the first horizon helps to build: data, talent, governance, and platform. Forcing transformation without having built capacity is a proven recipe for ambitious failure.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1.5 Documented decisions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Every portfolio decision (start, pause, scale, terminate, reassign) leaves a trace: criteria applied, evidence considered, responsible party. Under increasingly stringent regulatory regimes, decision traceability is mandatory. Without documentation, there is no audit possible.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1.6 Health before speed</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portfolio that performs rapidly but accumulates technical debt, unmonitored drift, and ungoverned models is a sick portfolio destined to collapse. Continuous health measurement is just as important as value measurement.</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2. Portfolio architecture: two horizons</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portfolio is organized into two horizons with distinct purposes and disciplines. Mixing horizons in the same assessment is the most common mistake; each horizon is compared to itself, not to the other.</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2.1 Horizon 1 — Quick Wins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Low-risk, high-value, short-term initiatives. Their primary purpose is not only to deliver value but also to build organizational traction, validate the methodology, and fund the learning curve. A portfolio without quick wins loses the political support of the executive committee within the first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Attribute</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Expected feature in H1</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Time horizon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0-9 months from decision to production value.</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Type of problem</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Well defined, with available data, low technical and adoption uncertainty.</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Typical AI family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Rules / RPA, mature classic ML, GenAI with RAG on bounded domain.</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Typical investment</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Low-medium. Predictable financial model, without surprises.</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Adoption pattern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One area, limited scope. A/B testing available. Adoption measurable in weeks.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Primary indicator</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Measurable ROI at 12-18 months, with proven cost/value ratio.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Main risk</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Underestimating the complexity of adoption. Treating it as purely technical.</w:t>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2.2 Horizon 2 — Transformations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Initiatives that reconfigure a process, capability, or business model. Greater uncertainty, greater potential. They require extended discovery discipline, staged budgeting, and continuous executive oversight. The committee must be prepared to shut down the initiative at any stage if the evidence doesn't support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Attribute</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Expected feature in H2</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Time horizon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12-30 months from decision to sustained value in production.</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Type of problem</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Initially poorly defined. Requires iterative discovery. High uncertainty.</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Typical AI family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Hybrid combinations. Agents, fine-tuned GenAI, ML with differentiating proprietary data.</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Typical investment</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High. Mandatory stage-gated financial model.</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Adoption pattern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Significant organizational change. Essential parallel adoption track (Module 6B).</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Primary indicator</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Movement of a strategic indicator (not just financial). Durable competitive advantage.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Main risk</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Over-engineering, analysis paralysis, capture by technological fad.</w:t>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2.3 Recommended Balance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portfolio distribution depends on the client's stage of maturity, but the following proportions serve as a defensible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Customer maturity</w:t>
            </w:r>
          </w:p>
        </w:tc>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 Quick Wins</w:t>
            </w:r>
          </w:p>
        </w:tc>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 Transformational</w:t>
            </w:r>
          </w:p>
        </w:tc>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Recommended focus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Initial (1-2 in M1)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Build traction and capability</w:t>
            </w:r>
          </w:p>
        </w:tc>
      </w:tr>
      <w:tr>
        <w:trPr>
          <w:tblHeader w:val="false"/>
        </w:trPr>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Intermediate (3 in M1)</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60%</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40%</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Balance. Start betting selectively.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Mature (4-5 in M1)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Competitive differentiation</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Balance rules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Never run more than 3 H2 initiatives simultaneously until the first one has successfully closed at least one scaling gate.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If in a quarter all Quick Wins are performing well and all H2s are in the amber or red zone, evaluate moving QW capacity towards H2.</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If H2 stocks consume more than 70% of the committee's time in a quarter, there is operational overload: simplify the portfolio.</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3. Portfolio prioritization system</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portfolio prioritization takes as input the value/effort matrix from Module 2 and enriches it with three additional criteria that only appear when looking at the whole.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3.1 The three additional portfolio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Criterion</w:t>
            </w:r>
          </w:p>
        </w:tc>
        <w:tc>
          <w:tcPr>
            <w:tcW w:type="dxa" w:w="64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What does it weigh?</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Chaining of capabilities</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Initiatives that build reusable capabilities (data, platform, base models, talent) are prioritized. A medium-value initiative that enables three future initiatives is worth more than a high-value, isolated initiative.</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Concentration of aggregated risk</w:t>
            </w:r>
          </w:p>
        </w:tc>
        <w:tc>
          <w:tcPr>
            <w:tcW w:type="dxa" w:w="64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If three selected initiatives depend on the same data, the same area, or the same supplier, concentration lowers the priority of the last one added to the portfolio. Diversifying by family, area, and dependency is a decision, not an accident.</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Adoption maturity of the proprietary area</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An initiative with a high value score in an area of AI readiness ≤ 2.4 (see Module 2) is disqualified or postponed. The initiative may be brilliant; the outcome, not.</w:t>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3.2 The five-step prioritization process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1. Import candidates from Module 2: </w:t>
      </w:r>
      <w:r xmlns:w="http://schemas.openxmlformats.org/wordprocessingml/2006/main">
        <w:rPr>
          <w:rFonts w:ascii="Arial" w:cs="Arial" w:eastAsia="Arial" w:hAnsi="Arial"/>
          <w:color w:val="2D2D2D"/>
          <w:sz w:val="22"/>
          <w:szCs w:val="22"/>
        </w:rPr>
        <w:t xml:space="preserve">value (V) and effort (E) scoring already calculated.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2. Apply bonus for chaining: </w:t>
      </w:r>
      <w:r xmlns:w="http://schemas.openxmlformats.org/wordprocessingml/2006/main">
        <w:rPr>
          <w:rFonts w:ascii="Arial" w:cs="Arial" w:eastAsia="Arial" w:hAnsi="Arial"/>
          <w:color w:val="2D2D2D"/>
          <w:sz w:val="22"/>
          <w:szCs w:val="22"/>
        </w:rPr>
        <w:t xml:space="preserve">+10 to the value score for each reusable capability that the initiative enables (maximum +20).</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3. Apply concentration penalty: </w:t>
      </w:r>
      <w:r xmlns:w="http://schemas.openxmlformats.org/wordprocessingml/2006/main">
        <w:rPr>
          <w:rFonts w:ascii="Arial" w:cs="Arial" w:eastAsia="Arial" w:hAnsi="Arial"/>
          <w:color w:val="2D2D2D"/>
          <w:sz w:val="22"/>
          <w:szCs w:val="22"/>
        </w:rPr>
        <w:t xml:space="preserve">-5 to the value score for each new initiative that depends on the same critical resource (maximum -15).</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4. Area readiness filter: </w:t>
      </w:r>
      <w:r xmlns:w="http://schemas.openxmlformats.org/wordprocessingml/2006/main">
        <w:rPr>
          <w:rFonts w:ascii="Arial" w:cs="Arial" w:eastAsia="Arial" w:hAnsi="Arial"/>
          <w:color w:val="2D2D2D"/>
          <w:sz w:val="22"/>
          <w:szCs w:val="22"/>
        </w:rPr>
        <w:t xml:space="preserve">discard candidates with readiness ≤ 2.4 until the gap is closed.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5. Horizon assignment: </w:t>
      </w:r>
      <w:r xmlns:w="http://schemas.openxmlformats.org/wordprocessingml/2006/main">
        <w:rPr>
          <w:rFonts w:ascii="Arial" w:cs="Arial" w:eastAsia="Arial" w:hAnsi="Arial"/>
          <w:color w:val="2D2D2D"/>
          <w:sz w:val="22"/>
          <w:szCs w:val="22"/>
        </w:rPr>
        <w:t xml:space="preserve">according to the nature of the problem, not according to preference. Mix horizons according to the proportions in section 2.3.</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3.3 Final selection rules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Top limit: </w:t>
      </w:r>
      <w:r xmlns:w="http://schemas.openxmlformats.org/wordprocessingml/2006/main">
        <w:rPr>
          <w:rFonts w:ascii="Arial" w:cs="Arial" w:eastAsia="Arial" w:hAnsi="Arial"/>
          <w:color w:val="2D2D2D"/>
          <w:sz w:val="22"/>
          <w:szCs w:val="22"/>
        </w:rPr>
        <w:t xml:space="preserve">never more active initiatives than actual operational capacity (PMO + areas + core capabilities).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Mandatory mix: </w:t>
      </w:r>
      <w:r xmlns:w="http://schemas.openxmlformats.org/wordprocessingml/2006/main">
        <w:rPr>
          <w:rFonts w:ascii="Arial" w:cs="Arial" w:eastAsia="Arial" w:hAnsi="Arial"/>
          <w:color w:val="2D2D2D"/>
          <w:sz w:val="22"/>
          <w:szCs w:val="22"/>
        </w:rPr>
        <w:t xml:space="preserve">at least one Quick Win per quarter ensures visible cadence to the executive committee.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Area independence: </w:t>
      </w:r>
      <w:r xmlns:w="http://schemas.openxmlformats.org/wordprocessingml/2006/main">
        <w:rPr>
          <w:rFonts w:ascii="Arial" w:cs="Arial" w:eastAsia="Arial" w:hAnsi="Arial"/>
          <w:color w:val="2D2D2D"/>
          <w:sz w:val="22"/>
          <w:szCs w:val="22"/>
        </w:rPr>
        <w:t xml:space="preserve">avoid having more than 50% of the portfolio depend on the same owner area.</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Diversification by family: </w:t>
      </w:r>
      <w:r xmlns:w="http://schemas.openxmlformats.org/wordprocessingml/2006/main">
        <w:rPr>
          <w:rFonts w:ascii="Arial" w:cs="Arial" w:eastAsia="Arial" w:hAnsi="Arial"/>
          <w:color w:val="2D2D2D"/>
          <w:sz w:val="22"/>
          <w:szCs w:val="22"/>
        </w:rPr>
        <w:t xml:space="preserve">maximum 60% of the portfolio concentrated in one family (Rules, Classic ML or GenAI/Agents).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2E75B6"/>
                <w:sz w:val="22"/>
                <w:szCs w:val="22"/>
              </w:rPr>
              <w:t xml:space="preserve">Why portfolio criteria matter</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A set of brilliant initiatives can make a poor portfolio: if they all depend on the same data, the same team, or the same technical capabilities, one failure will cause a cascading effect on them all. Portfolio-level prioritization takes care of what individual prioritization can't see.</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4. Governance: The AI Committee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A single formal instance of unified governance is sufficient for most organizations. Creating more committees increases costs and dilutes authority. The AI Committee makes all portfolio decisions that cannot be delegated to the PMO or initiative leaders.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4.1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Role</w:t>
            </w:r>
          </w:p>
        </w:tc>
        <w:tc>
          <w:tcPr>
            <w:tcW w:type="dxa" w:w="32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Primary responsibility</w:t>
            </w:r>
          </w:p>
        </w:tc>
        <w:tc>
          <w:tcPr>
            <w:tcW w:type="dxa" w:w="32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Frequency of participation</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Executive sponsor of AI</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Final authority on budget and priorities. Political coverage.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Permanent</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CIO / CTO</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Technological coherence, platform, IT integration.</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Permanent</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CDO / Data Leader</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Quality, availability, data governance.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Permanent</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Chief AI Officer / AI Leader</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Portfolio operation, methodological execution, status of initiatives.</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Permanent</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Risk / Legal / Compliance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Regulatory, legal and reputational risks of the portfolio.</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Permanent</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Area leaders with active initiatives</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Visibility regarding his initiatives, Gates' decision regarding his initiative.</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By call for applications</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Audit / Security</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Validation of controls. Independent view.</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Quarterly</w:t>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4.2 Decisions made by the committee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Approval or rejection of candidates for the portfolio (admission).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Approval of initiative gates (step to PoC, pilot, scale-up, operation).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Budget reallocation between initiatives or between time horizons.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Decision to abort, pause or restart initiatives.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Approval of exceptions to governance policies (use of sensitive data, non-standard models, critical vendor).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Annual review of the portfolio's operating model and of the committee itself.</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4.3 Rhythm and typical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Frequency</w:t>
            </w:r>
          </w:p>
        </w:tc>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Duration</w:t>
            </w:r>
          </w:p>
        </w:tc>
        <w:tc>
          <w:tcPr>
            <w:tcW w:type="dxa" w:w="50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Focus of the session</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Ordinary monthly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90-120 min</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Portfolio health, gate decisions, emerging risks.</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Strategic quarterly</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Noon</w:t>
            </w:r>
          </w:p>
        </w:tc>
        <w:tc>
          <w:tcPr>
            <w:tcW w:type="dxa" w:w="5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In-depth portfolio review: balance, captured value, priority adjustment.</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Annual planning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Full day</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Year-end closing, definition of the following year's portfolio, evolution of the operating model.</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Extraordinary</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60 min</w:t>
            </w:r>
          </w:p>
        </w:tc>
        <w:tc>
          <w:tcPr>
            <w:tcW w:type="dxa" w:w="5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Out-of-cycle decisions (incidents, unexpected opportunity).</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Standard monthly agenda (90 min)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Portfolio status (15 min): executive dashboard, traffic lights, alerts.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Gate decisions (30 min): each initiative that requests passage presents evidence + recommendation.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Emerging risks (20 min): new risks detected, proposed controls.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Strategic issues (15 min): market movements, regulation, opportunities.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Closing and commitments (10 min): recording of decisions,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1"/>
              <w:left w:val="single" w:color="B7791F" w:sz="18"/>
              <w:bottom w:val="single" w:color="B7791F" w:sz="1"/>
              <w:right w:val="single" w:color="B7791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B7791F"/>
                <w:sz w:val="22"/>
                <w:szCs w:val="22"/>
              </w:rPr>
              <w:t xml:space="preserve">The committee that becomes theater</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The first symptom of a dysfunctional committee is that it becomes a mere information session. If no decisions are made at a meeting, that meeting shouldn't be held. Documented decisions, not attendance, are the true measure of a committee's health.</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5. Executive portfolio metrics dashboard</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Twelve metrics across three categories cover portfolio health, value, and risk. This is the minimum defensible set. More metrics dilute attention; fewer leave critical dimensions unobserved.</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5.1 Category A — Portfolio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Metrics</w:t>
            </w:r>
          </w:p>
        </w:tc>
        <w:tc>
          <w:tcPr>
            <w:tcW w:type="dxa" w:w="4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How to calculate</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Reading</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A1. Gate throughput rate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Percentage of initiatives that pass each gate within the target time, out of the total that reach that gate.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&lt;50% indicates a methodological or selection problem</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A2. Time discovery → production</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Median time from G0 (discovery start) to G4 (step to operation) per closed initiative.</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Trajectory matters more than absolute value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A3. Adherence to the committee's pace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 of decisions made in the scheduled session vs. postponed or delayed.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&lt;80% suggests dysfunctional committee</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A4. PMO / Central Equipment Load</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Utilization of the PMO team + core capabilities over theoretical capacity.</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&gt;90% sustained = risk of default. Reduce portfolio or increase capacity</w:t>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5.2 Category B — Value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Metrics</w:t>
            </w:r>
          </w:p>
        </w:tc>
        <w:tc>
          <w:tcPr>
            <w:tcW w:type="dxa" w:w="4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How to calculate</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Reading</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B1. Captured vs. committed value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Sum of the actual value delivered by operational initiatives, over the value projected in their business cases. Annual cumulative total.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&gt;80% is healthy. &lt;60% is a warning about the realism of business cases.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B2. Average ROI over 24 months</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Weighted average of ROI (value captured / total investment) of closed initiatives.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Comparison against the portfolio target (typically 2-4x)</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B3. Average adoption (penetration)</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Average penetration metric (Module 6B) on initiatives in operation.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&lt;60% sustained indicates a systemic adoption problem</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B4. Closed initiatives with proven value</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Count and % of initiatives that reached operation and have demonstrated sustained value capture for at least 6 months.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Metric of "live products" in the portfolio</w:t>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5.3 Category C — Portfolio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Metrics</w:t>
            </w:r>
          </w:p>
        </w:tc>
        <w:tc>
          <w:tcPr>
            <w:tcW w:type="dxa" w:w="4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How to calculate</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Reading</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C1. Concentration by AI family</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 of the portfolio (in investment) in each family: Rules, Classic ML, GenAI/Agents.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Any family &gt;60% is a sign of dangerous concentration</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C2. Concentration by owner area</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Percentage of the portfolio (in investment) in each functional area. Herfindahl-Hirschman Index.</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More than 50% in a single area = fragile portfolio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C3. Initiatives with active critical risk</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Count of initiatives with at least one risk identified in the "critical" category without validated control.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More than 2 initiatives in this state = prioritize mitigation over new growth</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C4. Regulatory Coverage</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 of initiatives with completed DPIA (when applicable), updated model card, fairness assessment in systems that decide on people.</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&lt;90% in regulated sectors is dangerous regulatory debt</w:t>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5.4 How the dashboard is reported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Each metric has green, amber, and red thresholds defined at the beginning of the year by the committee.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The board is published before the committee meeting; it is not revealed at the meeting.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Each metric in red triggers a documented action in the next meeting.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Quarterly comparison with the previous period; annual comparison with the previous year's close.</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6. Financing Principles</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module does not prescribe a single financing model. Each organization must choose its own based on its financial and planning culture. However, the following seven principles help narrow the decision and prevent the most common mistakes.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1. Financing should be phased, not project-by-project. </w:t>
      </w:r>
      <w:r xmlns:w="http://schemas.openxmlformats.org/wordprocessingml/2006/main">
        <w:rPr>
          <w:rFonts w:ascii="Arial" w:cs="Arial" w:eastAsia="Arial" w:hAnsi="Arial"/>
          <w:color w:val="2D2D2D"/>
          <w:sz w:val="22"/>
          <w:szCs w:val="22"/>
        </w:rPr>
        <w:t xml:space="preserve">Each phase releases funds only for the next phase. Multi-year commitments without phases are a recipe for spending with no return.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2. Portfolio reserve for reallocation. </w:t>
      </w:r>
      <w:r xmlns:w="http://schemas.openxmlformats.org/wordprocessingml/2006/main">
        <w:rPr>
          <w:rFonts w:ascii="Arial" w:cs="Arial" w:eastAsia="Arial" w:hAnsi="Arial"/>
          <w:color w:val="2D2D2D"/>
          <w:sz w:val="22"/>
          <w:szCs w:val="22"/>
        </w:rPr>
        <w:t xml:space="preserve">At least 15% of the annual portfolio budget should be left as an unallocated reserve at the beginning of the year, to move capacity to initiatives that demonstrate traction.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3. Total cost, not project cost. </w:t>
      </w:r>
      <w:r xmlns:w="http://schemas.openxmlformats.org/wordprocessingml/2006/main">
        <w:rPr>
          <w:rFonts w:ascii="Arial" w:cs="Arial" w:eastAsia="Arial" w:hAnsi="Arial"/>
          <w:color w:val="2D2D2D"/>
          <w:sz w:val="22"/>
          <w:szCs w:val="22"/>
        </w:rPr>
        <w:t xml:space="preserve">The budget includes operations, talent, infrastructure, licensing, and maintenance over a 36-month period, not just the construction cost. Initiatives approved based on construction cost that fail during operation are the most frequent cause of financial failure.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4. CapEx vs. OpEx by nature. </w:t>
      </w:r>
      <w:r xmlns:w="http://schemas.openxmlformats.org/wordprocessingml/2006/main">
        <w:rPr>
          <w:rFonts w:ascii="Arial" w:cs="Arial" w:eastAsia="Arial" w:hAnsi="Arial"/>
          <w:color w:val="2D2D2D"/>
          <w:sz w:val="22"/>
          <w:szCs w:val="22"/>
        </w:rPr>
        <w:t xml:space="preserve">Durable, differentiating assets (proprietary models, platform, curated data) tend toward CapEx. Third-party services (LLMs, SaaS tools) tend toward OpEx. The mix affects the financial profile but should not be forced against the nature of the asset.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5. Explicit cost of failure. </w:t>
      </w:r>
      <w:r xmlns:w="http://schemas.openxmlformats.org/wordprocessingml/2006/main">
        <w:rPr>
          <w:rFonts w:ascii="Arial" w:cs="Arial" w:eastAsia="Arial" w:hAnsi="Arial"/>
          <w:color w:val="2D2D2D"/>
          <w:sz w:val="22"/>
          <w:szCs w:val="22"/>
        </w:rPr>
        <w:t xml:space="preserve">Each initiative documents how much it is willing to lose before abandoning it. Without this explicit figure, initiatives remain alive longer than is reasonable due to political inertia.</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6. Enabling capabilities as a core investment. </w:t>
      </w:r>
      <w:r xmlns:w="http://schemas.openxmlformats.org/wordprocessingml/2006/main">
        <w:rPr>
          <w:rFonts w:ascii="Arial" w:cs="Arial" w:eastAsia="Arial" w:hAnsi="Arial"/>
          <w:color w:val="2D2D2D"/>
          <w:sz w:val="22"/>
          <w:szCs w:val="22"/>
        </w:rPr>
        <w:t xml:space="preserve">Data, platform, talent, and governance are not project costs; they are portfolio investments distributed across initiatives. Treating them as project costs underfunds them and creates bottlenecks.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7. Unified financial reporting. </w:t>
      </w:r>
      <w:r xmlns:w="http://schemas.openxmlformats.org/wordprocessingml/2006/main">
        <w:rPr>
          <w:rFonts w:ascii="Arial" w:cs="Arial" w:eastAsia="Arial" w:hAnsi="Arial"/>
          <w:color w:val="2D2D2D"/>
          <w:sz w:val="22"/>
          <w:szCs w:val="22"/>
        </w:rPr>
        <w:t xml:space="preserve">Investment in AI is reported as a visible line item in the corporate budget, not diluted across departmental budgets. Without financial visibility, committee discipline becomes merely symbolic.</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7. Portfolio operational templates</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Three minimum templates standardize the conversation within the portfolio: the project charter (one page per initiative), the executive business case, and the portfolio dashboard. Standardization is what makes different initiatives comparable.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7.1 Initiative Project Charter</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One-page document per initiative. Signed at G0 (discovery start). Every active initiative in the portfolio has its charter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Section</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Required content</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1. Identification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Name, ID, owning area, sponsor, initiative leader, approval date G0.</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2. Problem and value</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Problem in one sentence, primary value vector, indicator to move, expected magnitude.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3. Hypothesis solution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Recommended AI family (Module 4), high-level architecture, data dependencies.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4. Team and roles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Sponsor, leader, core team, areas involved, technical point of contact, adoption point of contact.</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5. Plan and horizon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Milestones by gate (G1-G4), estimated dates, key deliverables by phase.</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6. Budget and financing</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Total estimated investment per stage, gate release model, accepted cost of failure.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7. Key Risks</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Top 3 risks identified, initial controls, owner of each control.</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8. Success criteria and abortion</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Metrics that define success, abortion thresholds, review schedule.</w:t>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7.2 Executive Business Case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Two- to four-page document. Approved in G2 (pilot phase) and updated at least once a year during operation. Minimum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Section</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Required content</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1. Executive Summary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One page: case study, expected value, investment, recommendation. For sponsors with limited time.</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2. Business case</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How the solution translates into value: current baseline, future scenario, specific levers, indicator to move and magnitude.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3. Investment</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36-month TCO by category (talent, infrastructure, licensing, integration, operations, organizational change). CapEx/OpEx mix.</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4. Return and schedule</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Value capture curve per quarter. Break-even point. ROI at 24 and 36 months. NPV with corporate rate.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5. Sensitivity analysis</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Baseline scenario, conservative scenario, optimistic scenario. Most impactful variables identified.</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6. Risks and mitigations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Top 5 risks with estimated impact and specific mitigation plan.</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7. Abortion criteria</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Explicit conditions that trigger abortion before the end of the target period. Example: "If adoption in G3 does not reach 40% within 90 days, it will be aborted."</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8. Dependencies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What does this initiative need from other core initiatives or capabilities to produce the projected value?</w:t>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7.3 Executive Portfolio Dashboard</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single dashboard published before each AI Committee meeting. Recommended visual structure in four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Band</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Content</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Band 1 — Executive View</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Aggregate portfolio traffic light (green/amber/red), number of active initiatives per horizon, year-to-date captured value vs committed.</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Band 2 — Active initiatives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Table of all initiatives with columns: name, horizon, phase, health traffic light, value traffic light, next gate, owner.</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Band 3 — Metrics Dashboard (Section 5)</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The 12 metrics with their current value, threshold, traffic light status, and monthly trajectory.</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Band 4 — Required Decisions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An explicit list of decisions that the committee must make at that session. Without this list, the meetings become merely informational.</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Dashboard rules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 single visual page. If it doesn't fit, divide it into sheets but maintain a single executive view.</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Data updated within the last week. Dashboards with outdated data lose credibility.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Each red or amber traffic light links to the corresponding detail note. Without a link, it is ignored.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Single owner of the dashboard: the portfolio PMO or the Chief AI Officer. Multiple owners = guaranteed inconsistency.</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8. Connections with other modules and closure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8.1 How Module 3 integrates with the rest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Backwards (Module 2): </w:t>
      </w:r>
      <w:r xmlns:w="http://schemas.openxmlformats.org/wordprocessingml/2006/main">
        <w:rPr>
          <w:rFonts w:ascii="Arial" w:cs="Arial" w:eastAsia="Arial" w:hAnsi="Arial"/>
          <w:color w:val="2D2D2D"/>
          <w:sz w:val="22"/>
          <w:szCs w:val="22"/>
        </w:rPr>
        <w:t xml:space="preserve">takes the prioritized list of candidates and turns them into a managed portfolio.</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Towards the side (Module 4): </w:t>
      </w:r>
      <w:r xmlns:w="http://schemas.openxmlformats.org/wordprocessingml/2006/main">
        <w:rPr>
          <w:rFonts w:ascii="Arial" w:cs="Arial" w:eastAsia="Arial" w:hAnsi="Arial"/>
          <w:color w:val="2D2D2D"/>
          <w:sz w:val="22"/>
          <w:szCs w:val="22"/>
        </w:rPr>
        <w:t xml:space="preserve">each initiative goes through the Module 4 tree/matrix before being approved in G1, to confirm AI family.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Towards the side (Module 5): </w:t>
      </w:r>
      <w:r xmlns:w="http://schemas.openxmlformats.org/wordprocessingml/2006/main">
        <w:rPr>
          <w:rFonts w:ascii="Arial" w:cs="Arial" w:eastAsia="Arial" w:hAnsi="Arial"/>
          <w:color w:val="2D2D2D"/>
          <w:sz w:val="22"/>
          <w:szCs w:val="22"/>
        </w:rPr>
        <w:t xml:space="preserve">the functional recipe of the owner area guides the technical solution of the initiative.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Moving forward (Module 6): </w:t>
      </w:r>
      <w:r xmlns:w="http://schemas.openxmlformats.org/wordprocessingml/2006/main">
        <w:rPr>
          <w:rFonts w:ascii="Arial" w:cs="Arial" w:eastAsia="Arial" w:hAnsi="Arial"/>
          <w:color w:val="2D2D2D"/>
          <w:sz w:val="22"/>
          <w:szCs w:val="22"/>
        </w:rPr>
        <w:t xml:space="preserve">The approved portfolio is implemented with the technical (6A) and adoption (6B) disciplines. The Module 3 AI committee receives the operational reports from Module 6.</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Looking ahead (Module 7): </w:t>
      </w:r>
      <w:r xmlns:w="http://schemas.openxmlformats.org/wordprocessingml/2006/main">
        <w:rPr>
          <w:rFonts w:ascii="Arial" w:cs="Arial" w:eastAsia="Arial" w:hAnsi="Arial"/>
          <w:color w:val="2D2D2D"/>
          <w:sz w:val="22"/>
          <w:szCs w:val="22"/>
        </w:rPr>
        <w:t xml:space="preserve">the long-term sustainability of the portfolio depends on the Center of Excellence and the target operating model of Module 7.</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8.2 When is a portfolio considered mature?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The health of the portfolio is measured by discipline (category A in metrics) and the core team is not a sustained bottleneck.</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There is actual captured value (category B) and the capture exceeds 80% of the committed value.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The aggregate risk is under control (category C) and the concentration by family and area remains within thresholds.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The committee makes decisions at each session, it doesn't just receive reports.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The organization no longer needs the consultant to sustain the method. Independence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When is the module simplified?</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When an organization is truly starting from scratch or with only one initiative in production, this module can be applied in a simplified version: bimonthly committee meetings, a dashboard with six metrics, and one-page templates. Discipline matters more than sophistication. Sophistication only becomes necessary when the portfolio already has six or more active initiatives and the complexity justifies it.</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pBdr>
          <w:bottom w:val="single" w:color="1F3A5F" w:sz="12" w:space="1"/>
        </w:pBdr>
        <w:spacing w:after="240" w:before="240"/>
      </w:pPr>
      <w:r xmlns:w="http://schemas.openxmlformats.org/wordprocessingml/2006/main">
        <w:rPr>
          <w:rFonts w:ascii="Arial" w:cs="Arial" w:eastAsia="Arial" w:hAnsi="Arial"/>
        </w:rPr>
        <w:t xml:space="preserve"> </w:t>
      </w:r>
    </w:p>
    <w:p>
      <w:pPr xmlns:w="http://schemas.openxmlformats.org/wordprocessingml/2006/main">
        <w:spacing w:after="0" w:before="120"/>
        <w:jc w:val="center"/>
      </w:pPr>
      <w:r xmlns:w="http://schemas.openxmlformats.org/wordprocessingml/2006/main">
        <w:rPr>
          <w:rFonts w:ascii="Arial" w:cs="Arial" w:eastAsia="Arial" w:hAnsi="Arial"/>
          <w:i/>
          <w:iCs/>
          <w:color w:val="6B7280"/>
          <w:sz w:val="22"/>
          <w:szCs w:val="22"/>
        </w:rPr>
        <w:t xml:space="preserve">End of Module 3</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xmlns:w="http://schemas.openxmlformats.org/wordprocessingml/2006/main">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xmlns:w="http://schemas.openxmlformats.org/wordprocessingml/2006/main">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xmlns:w="http://schemas.openxmlformats.org/wordprocessingml/2006/main">
      <w:pBdr>
        <w:top w:val="single" w:color="CCCCCC" w:sz="4" w:space="4"/>
      </w:pBdr>
      <w:tabs>
        <w:tab w:val="right" w:pos="9360"/>
      </w:tabs>
    </w:pPr>
    <w:r xmlns:w="http://schemas.openxmlformats.org/wordprocessingml/2006/main">
      <w:rPr>
        <w:rFonts w:ascii="Arial" w:cs="Arial" w:eastAsia="Arial" w:hAnsi="Arial"/>
        <w:color w:val="6B7280"/>
        <w:sz w:val="18"/>
        <w:szCs w:val="18"/>
      </w:rPr>
      <w:t xml:space="preserve">Technical and operational document · v1.0 Page </w:t>
    </w:r>
    <w:r xmlns:w="http://schemas.openxmlformats.org/wordprocessingml/2006/main">
      <w:rPr>
        <w:rFonts w:ascii="Arial" w:cs="Arial" w:eastAsia="Arial" w:hAnsi="Arial"/>
        <w:color w:val="6B7280"/>
        <w:sz w:val="18"/>
        <w:szCs w:val="18"/>
      </w:rPr>
      <w:fldChar xmlns:w="http://schemas.openxmlformats.org/wordprocessingml/2006/main" w:fldCharType="begin"/>
    </w:r>
    <w:r xmlns:w="http://schemas.openxmlformats.org/wordprocessingml/2006/main">
      <w:rPr>
        <w:rFonts w:ascii="Arial" w:cs="Arial" w:eastAsia="Arial" w:hAnsi="Arial"/>
        <w:color w:val="6B7280"/>
        <w:sz w:val="18"/>
        <w:szCs w:val="18"/>
      </w:rPr>
      <w:instrText xmlns:w="http://schemas.openxmlformats.org/wordprocessingml/2006/main" xml:space="preserve">PAGE</w:instrText>
    </w:r>
    <w:r xmlns:w="http://schemas.openxmlformats.org/wordprocessingml/2006/main">
      <w:rPr>
        <w:rFonts w:ascii="Arial" w:cs="Arial" w:eastAsia="Arial" w:hAnsi="Arial"/>
        <w:color w:val="6B7280"/>
        <w:sz w:val="18"/>
        <w:szCs w:val="18"/>
      </w:rPr>
      <w:fldChar xmlns:w="http://schemas.openxmlformats.org/wordprocessingml/2006/main" w:fldCharType="separate"/>
    </w:r>
    <w:r xmlns:w="http://schemas.openxmlformats.org/wordprocessingml/2006/main">
      <w:rPr>
        <w:rFonts w:ascii="Arial" w:cs="Arial" w:eastAsia="Arial" w:hAnsi="Arial"/>
        <w:color w:val="6B7280"/>
        <w:sz w:val="18"/>
        <w:szCs w:val="18"/>
      </w:rPr>
      <w:fldChar xmlns:w="http://schemas.openxmlformats.org/wordprocessingml/2006/main" w:fldCharType="end"/>
    </w:r>
    <w:r xmlns:w="http://schemas.openxmlformats.org/wordprocessingml/2006/main">
      <w:rPr>
        <w:rFonts w:ascii="Arial" w:cs="Arial" w:eastAsia="Arial" w:hAnsi="Arial"/>
        <w:color w:val="6B7280"/>
        <w:sz w:val="18"/>
        <w:szCs w:val="18"/>
      </w:rPr>
      <w:t xml:space="preserve">of</w:t>
    </w:r>
    <w:r xmlns:w="http://schemas.openxmlformats.org/wordprocessingml/2006/main">
      <w:rPr>
        <w:rFonts w:ascii="Arial" w:cs="Arial" w:eastAsia="Arial" w:hAnsi="Arial"/>
        <w:color w:val="6B7280"/>
        <w:sz w:val="18"/>
        <w:szCs w:val="18"/>
      </w:rPr>
      <w:fldChar xmlns:w="http://schemas.openxmlformats.org/wordprocessingml/2006/main" w:fldCharType="begin"/>
    </w:r>
    <w:r xmlns:w="http://schemas.openxmlformats.org/wordprocessingml/2006/main">
      <w:rPr>
        <w:rFonts w:ascii="Arial" w:cs="Arial" w:eastAsia="Arial" w:hAnsi="Arial"/>
        <w:color w:val="6B7280"/>
        <w:sz w:val="18"/>
        <w:szCs w:val="18"/>
      </w:rPr>
      <w:instrText xmlns:w="http://schemas.openxmlformats.org/wordprocessingml/2006/main" xml:space="preserve">NUMPAGES</w:instrText>
    </w:r>
    <w:r xmlns:w="http://schemas.openxmlformats.org/wordprocessingml/2006/main">
      <w:rPr>
        <w:rFonts w:ascii="Arial" w:cs="Arial" w:eastAsia="Arial" w:hAnsi="Arial"/>
        <w:color w:val="6B7280"/>
        <w:sz w:val="18"/>
        <w:szCs w:val="18"/>
      </w:rPr>
      <w:fldChar xmlns:w="http://schemas.openxmlformats.org/wordprocessingml/2006/main" w:fldCharType="separate"/>
    </w:r>
    <w:r xmlns:w="http://schemas.openxmlformats.org/wordprocessingml/2006/main">
      <w:rPr>
        <w:rFonts w:ascii="Arial" w:cs="Arial" w:eastAsia="Arial" w:hAnsi="Arial"/>
        <w:color w:val="6B7280"/>
        <w:sz w:val="18"/>
        <w:szCs w:val="18"/>
      </w:rPr>
      <w:fldChar xmlns:w="http://schemas.openxmlformats.org/wordprocessingml/2006/main"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xmlns:w="http://schemas.openxmlformats.org/wordprocessingml/2006/main">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xmlns:w="http://schemas.openxmlformats.org/wordprocessingml/2006/main">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xmlns:w="http://schemas.openxmlformats.org/wordprocessingml/2006/main">
      <w:pBdr>
        <w:bottom w:val="single" w:color="1F3A5F" w:sz="4" w:space="4"/>
      </w:pBdr>
      <w:tabs>
        <w:tab w:val="right" w:pos="9360"/>
      </w:tabs>
      <w:spacing w:after="0"/>
    </w:pPr>
    <w:r xmlns:w="http://schemas.openxmlformats.org/wordprocessingml/2006/main">
      <w:rPr>
        <w:rFonts w:ascii="Arial" w:cs="Arial" w:eastAsia="Arial" w:hAnsi="Arial"/>
        <w:color w:val="6B7280"/>
        <w:sz w:val="18"/>
        <w:szCs w:val="18"/>
      </w:rPr>
      <w:t xml:space="preserve">AI Implementation Methodology | Module 3 </w:t>
    </w:r>
    <w:r xmlns:w="http://schemas.openxmlformats.org/wordprocessingml/2006/main">
      <w:rPr>
        <w:rFonts w:ascii="Arial" w:cs="Arial" w:eastAsia="Arial" w:hAnsi="Arial"/>
        <w:i/>
        <w:iCs/>
        <w:color w:val="6B7280"/>
        <w:sz w:val="18"/>
        <w:szCs w:val="18"/>
      </w:rPr>
      <w:t xml:space="preserve">Innovation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2026-05-01T12:26:24.392Z</dcterms:created>
  <dcterms:modified xsi:type="dcterms:W3CDTF">2026-05-01T12:26:24.396Z</dcterms:modified>
</cp:coreProperties>
</file>

<file path=docProps/custom.xml><?xml version="1.0" encoding="utf-8"?>
<Properties xmlns="http://schemas.openxmlformats.org/officeDocument/2006/custom-properties" xmlns:vt="http://schemas.openxmlformats.org/officeDocument/2006/docPropsVTypes"/>
</file>