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FE2A" w14:textId="77777777" w:rsidR="00B63973" w:rsidRDefault="00000000">
      <w:pPr>
        <w:spacing w:after="60"/>
      </w:pPr>
      <w:r>
        <w:rPr>
          <w:b/>
          <w:bCs/>
          <w:color w:val="2E75B6"/>
          <w:spacing w:val="80"/>
        </w:rPr>
        <w:t>AI IMPLEMENTATION METHODOLOGY</w:t>
      </w:r>
    </w:p>
    <w:p w14:paraId="6B21FE2B" w14:textId="77777777" w:rsidR="00B63973" w:rsidRDefault="00000000">
      <w:pPr>
        <w:spacing w:after="40"/>
      </w:pPr>
      <w:r>
        <w:rPr>
          <w:b/>
          <w:bCs/>
          <w:color w:val="1F3A5F"/>
          <w:sz w:val="40"/>
          <w:szCs w:val="40"/>
        </w:rPr>
        <w:t>A method to make your AI investment pay off</w:t>
      </w:r>
    </w:p>
    <w:p w14:paraId="6B21FE2C" w14:textId="77777777" w:rsidR="00B63973" w:rsidRDefault="00000000">
      <w:pPr>
        <w:pBdr>
          <w:bottom w:val="single" w:sz="12" w:space="1" w:color="1F3A5F"/>
        </w:pBdr>
        <w:spacing w:after="40" w:line="280" w:lineRule="auto"/>
      </w:pPr>
      <w:r>
        <w:rPr>
          <w:i/>
          <w:iCs/>
          <w:sz w:val="20"/>
          <w:szCs w:val="20"/>
        </w:rPr>
        <w:t>Between 70% and 85% of enterprise AI projects fail to deliver expected value. The cause is rarely technology — it is method. Misaligned strategy, unprepared data, the wrong AI family, undisciplined execution, and unmanaged adoption kill more initiatives than any model ever will.</w:t>
      </w:r>
    </w:p>
    <w:p w14:paraId="6B21FE2D" w14:textId="77777777" w:rsidR="00B63973" w:rsidRDefault="00000000">
      <w:pPr>
        <w:pBdr>
          <w:bottom w:val="single" w:sz="4" w:space="1" w:color="1F3A5F"/>
        </w:pBdr>
        <w:spacing w:before="160" w:after="60"/>
      </w:pPr>
      <w:r>
        <w:rPr>
          <w:b/>
          <w:bCs/>
          <w:color w:val="2E75B6"/>
          <w:spacing w:val="40"/>
        </w:rPr>
        <w:t>THE SERVICE</w:t>
      </w:r>
    </w:p>
    <w:p w14:paraId="6B21FE2E" w14:textId="77777777" w:rsidR="00B63973" w:rsidRDefault="00000000">
      <w:pPr>
        <w:spacing w:after="80"/>
      </w:pPr>
      <w:r>
        <w:t>A seven-module methodology that takes your organization from strategic alignment to sustained value capture. End-to-end, vendor-agnostic, regulation-ready, and engineered around the points where most initiatives actually fail.</w:t>
      </w:r>
    </w:p>
    <w:p w14:paraId="6B21FE2F" w14:textId="77777777" w:rsidR="00B63973" w:rsidRDefault="00000000">
      <w:pPr>
        <w:pBdr>
          <w:bottom w:val="single" w:sz="4" w:space="1" w:color="1F3A5F"/>
        </w:pBdr>
        <w:spacing w:before="160" w:after="60"/>
      </w:pPr>
      <w:r>
        <w:rPr>
          <w:b/>
          <w:bCs/>
          <w:color w:val="2E75B6"/>
          <w:spacing w:val="40"/>
        </w:rPr>
        <w:t>STRUCTURE — SEVEN MODULES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40"/>
      </w:tblGrid>
      <w:tr w:rsidR="00B63973" w14:paraId="6B21F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0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MODULE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1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FOCUS</w:t>
            </w:r>
          </w:p>
        </w:tc>
      </w:tr>
      <w:tr w:rsidR="00B63973" w14:paraId="6B21FE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3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1. Strategic Foundations &amp; Alignment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4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Maturity diagnosis across 5 dimensions; vector-of-value prioritization; risk appetite.</w:t>
            </w:r>
          </w:p>
        </w:tc>
      </w:tr>
      <w:tr w:rsidR="00B63973" w14:paraId="6B21FE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6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2. Diagnostic &amp; Opportunity Mapping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7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AI-readiness assessment by area; opportunity heat map; weighted value/effort matrix.</w:t>
            </w:r>
          </w:p>
        </w:tc>
      </w:tr>
      <w:tr w:rsidR="00B63973" w14:paraId="6B21FE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9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3. Innovation Portfolio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A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Two-horizon portfolio (Quick Wins + Transformational); AI Committee; 12-metric dashboard.</w:t>
            </w:r>
          </w:p>
        </w:tc>
      </w:tr>
      <w:tr w:rsidR="00B63973" w14:paraId="6B21F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C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4. AI Decision Framework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D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Rules vs. classical ML vs. GenAI: decision tree, multi-criteria scoring, structured questionnaire.</w:t>
            </w:r>
          </w:p>
        </w:tc>
      </w:tr>
      <w:tr w:rsidR="00B63973" w14:paraId="6B21FE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3F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5. Recipes by Functional Area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40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Sales, marketing, customer service, finance, HR, operations, supply chain, legal/compliance.</w:t>
            </w:r>
          </w:p>
        </w:tc>
      </w:tr>
      <w:tr w:rsidR="00B63973" w14:paraId="6B21FE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42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6. Implementation &amp; Change Management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43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Technical lifecycle (5 phases, gates, risk framework) + adoption (fear-of-replacement, XAI, Shadow AI).</w:t>
            </w:r>
          </w:p>
        </w:tc>
      </w:tr>
      <w:tr w:rsidR="00B63973" w14:paraId="6B21FE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45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7. Sustainability &amp; Center of Excellence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46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Operating model, governance, talent strategy, continuous improvement of the portfolio.</w:t>
            </w:r>
          </w:p>
        </w:tc>
      </w:tr>
    </w:tbl>
    <w:p w14:paraId="6B21FE48" w14:textId="77777777" w:rsidR="00B63973" w:rsidRDefault="00000000">
      <w:pPr>
        <w:pBdr>
          <w:bottom w:val="single" w:sz="4" w:space="1" w:color="1F3A5F"/>
        </w:pBdr>
        <w:spacing w:before="160" w:after="60"/>
      </w:pPr>
      <w:r>
        <w:rPr>
          <w:b/>
          <w:bCs/>
          <w:color w:val="2E75B6"/>
          <w:spacing w:val="40"/>
        </w:rPr>
        <w:t>WHAT MAKES THIS METHOD DIFFERENT</w:t>
      </w:r>
    </w:p>
    <w:p w14:paraId="6B21FE49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Vendor-agnostic. </w:t>
      </w:r>
      <w:r>
        <w:t>Decisions are driven by criteria, not by a partner's preferred stack. The right tool for the right problem.</w:t>
      </w:r>
    </w:p>
    <w:p w14:paraId="6B21FE4A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Quantitative throughout. </w:t>
      </w:r>
      <w:r>
        <w:t>Questionnaires, scoring matrices, and weighted criteria replace gut feel and political negotiation.</w:t>
      </w:r>
    </w:p>
    <w:p w14:paraId="6B21FE4B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Covers what others miss. </w:t>
      </w:r>
      <w:r>
        <w:t>Fear of replacement, Shadow AI, XAI visual design, human-AI workflow patterns, trust calibration.</w:t>
      </w:r>
    </w:p>
    <w:p w14:paraId="6B21FE4C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Compliance-ready by design. </w:t>
      </w:r>
      <w:r>
        <w:t>Aligned with EU AI Act, GDPR, NIST AI RMF, ISO 42001, and OECD AI Principles from day one.</w:t>
      </w:r>
    </w:p>
    <w:p w14:paraId="6B21FE4D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Two-track execution. </w:t>
      </w:r>
      <w:r>
        <w:t>Technical implementation and human adoption run in parallel from day one, never sequentially.</w:t>
      </w:r>
    </w:p>
    <w:p w14:paraId="6B21FE4E" w14:textId="77777777" w:rsidR="00B63973" w:rsidRDefault="00000000">
      <w:pPr>
        <w:pStyle w:val="ListParagraph"/>
        <w:numPr>
          <w:ilvl w:val="0"/>
          <w:numId w:val="2"/>
        </w:numPr>
        <w:spacing w:after="40" w:line="230" w:lineRule="auto"/>
      </w:pPr>
      <w:r>
        <w:rPr>
          <w:b/>
          <w:bCs/>
        </w:rPr>
        <w:t xml:space="preserve">Operational, not theoretical. </w:t>
      </w:r>
      <w:r>
        <w:t>Each module ships with templates, gates, dashboards, and questionnaires you use in workshop, not in slideware.</w:t>
      </w:r>
    </w:p>
    <w:p w14:paraId="6B21FE4F" w14:textId="77777777" w:rsidR="00B63973" w:rsidRDefault="00000000">
      <w:pPr>
        <w:pBdr>
          <w:bottom w:val="single" w:sz="4" w:space="1" w:color="1F3A5F"/>
        </w:pBdr>
        <w:spacing w:before="160" w:after="60"/>
      </w:pPr>
      <w:r>
        <w:rPr>
          <w:b/>
          <w:bCs/>
          <w:color w:val="2E75B6"/>
          <w:spacing w:val="40"/>
        </w:rPr>
        <w:t>HOW TO ENGAGE — THREE ENTRY POINTS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6240"/>
      </w:tblGrid>
      <w:tr w:rsidR="00B63973" w14:paraId="6B21F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0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ENGAGEMENT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1" w14:textId="77777777" w:rsidR="00B63973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>DURATION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2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WHAT IT INCLUDES</w:t>
            </w:r>
          </w:p>
        </w:tc>
      </w:tr>
      <w:tr w:rsidR="00B63973" w14:paraId="6B21F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4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Executive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5" w14:textId="77777777" w:rsidR="00B63973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90 minutes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6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Review the case with your committee, validate fit, decide whether to move to diagnostic.</w:t>
            </w:r>
          </w:p>
        </w:tc>
      </w:tr>
      <w:tr w:rsidR="00B63973" w14:paraId="6B21F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8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Strategic Diagnostic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9" w14:textId="77777777" w:rsidR="00B63973" w:rsidRDefault="00000000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4 weeks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A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Maturity assessment, opportunity map, prioritized portfolio with funding recommendation.</w:t>
            </w:r>
          </w:p>
        </w:tc>
      </w:tr>
      <w:tr w:rsidR="00B63973" w14:paraId="6B21F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C" w14:textId="77777777" w:rsidR="00B63973" w:rsidRDefault="00000000">
            <w:pPr>
              <w:spacing w:line="230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Full Engagement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D" w14:textId="2088098D" w:rsidR="00B63973" w:rsidRDefault="00DB7866">
            <w:pPr>
              <w:spacing w:line="230" w:lineRule="auto"/>
              <w:jc w:val="center"/>
            </w:pPr>
            <w:r>
              <w:rPr>
                <w:sz w:val="17"/>
                <w:szCs w:val="17"/>
              </w:rPr>
              <w:t>3 - 6</w:t>
            </w:r>
            <w:r w:rsidR="00000000">
              <w:rPr>
                <w:sz w:val="17"/>
                <w:szCs w:val="17"/>
              </w:rPr>
              <w:t xml:space="preserve"> months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FE5E" w14:textId="77777777" w:rsidR="00B63973" w:rsidRDefault="00000000">
            <w:pPr>
              <w:spacing w:line="230" w:lineRule="auto"/>
            </w:pPr>
            <w:r>
              <w:rPr>
                <w:sz w:val="17"/>
                <w:szCs w:val="17"/>
              </w:rPr>
              <w:t>End-to-end application of all seven modules, from discovery through sustained operation.</w:t>
            </w:r>
          </w:p>
        </w:tc>
      </w:tr>
    </w:tbl>
    <w:p w14:paraId="6B21FE60" w14:textId="77777777" w:rsidR="00B63973" w:rsidRDefault="00B63973">
      <w:pPr>
        <w:spacing w:before="60"/>
      </w:pPr>
    </w:p>
    <w:p w14:paraId="6B21FE61" w14:textId="77777777" w:rsidR="00B63973" w:rsidRDefault="00000000">
      <w:pPr>
        <w:pBdr>
          <w:top w:val="single" w:sz="12" w:space="1" w:color="1F3A5F"/>
        </w:pBdr>
        <w:spacing w:before="100" w:after="100"/>
      </w:pPr>
      <w:r>
        <w:t xml:space="preserve"> </w:t>
      </w:r>
    </w:p>
    <w:p w14:paraId="6B21FE62" w14:textId="77777777" w:rsidR="00B63973" w:rsidRDefault="00000000">
      <w:pPr>
        <w:spacing w:after="80" w:line="280" w:lineRule="auto"/>
        <w:jc w:val="center"/>
      </w:pPr>
      <w:r>
        <w:rPr>
          <w:i/>
          <w:iCs/>
          <w:sz w:val="19"/>
          <w:szCs w:val="19"/>
        </w:rPr>
        <w:t>The investment your organization makes in AI over the next 18 months will largely define its competitive position for the next five years. So will how you make it.</w:t>
      </w:r>
    </w:p>
    <w:p w14:paraId="6B21FE63" w14:textId="77777777" w:rsidR="00B63973" w:rsidRDefault="00000000">
      <w:pPr>
        <w:spacing w:before="40" w:after="40"/>
        <w:jc w:val="center"/>
      </w:pPr>
      <w:r>
        <w:rPr>
          <w:b/>
          <w:bCs/>
          <w:color w:val="1F3A5F"/>
          <w:sz w:val="28"/>
          <w:szCs w:val="28"/>
        </w:rPr>
        <w:t>Let's talk.</w:t>
      </w:r>
    </w:p>
    <w:p w14:paraId="6B21FE64" w14:textId="77777777" w:rsidR="00B63973" w:rsidRDefault="00000000">
      <w:pPr>
        <w:jc w:val="center"/>
      </w:pPr>
      <w:r>
        <w:rPr>
          <w:color w:val="6B7280"/>
        </w:rPr>
        <w:t>[ Contact details ]</w:t>
      </w:r>
    </w:p>
    <w:sectPr w:rsidR="00B6397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511"/>
    <w:multiLevelType w:val="hybridMultilevel"/>
    <w:tmpl w:val="32F09DFE"/>
    <w:lvl w:ilvl="0" w:tplc="96802FB8">
      <w:start w:val="1"/>
      <w:numFmt w:val="bullet"/>
      <w:lvlText w:val="●"/>
      <w:lvlJc w:val="left"/>
      <w:pPr>
        <w:ind w:left="720" w:hanging="360"/>
      </w:pPr>
    </w:lvl>
    <w:lvl w:ilvl="1" w:tplc="F250A800">
      <w:start w:val="1"/>
      <w:numFmt w:val="bullet"/>
      <w:lvlText w:val="○"/>
      <w:lvlJc w:val="left"/>
      <w:pPr>
        <w:ind w:left="1440" w:hanging="360"/>
      </w:pPr>
    </w:lvl>
    <w:lvl w:ilvl="2" w:tplc="B81456BC">
      <w:start w:val="1"/>
      <w:numFmt w:val="bullet"/>
      <w:lvlText w:val="■"/>
      <w:lvlJc w:val="left"/>
      <w:pPr>
        <w:ind w:left="2160" w:hanging="360"/>
      </w:pPr>
    </w:lvl>
    <w:lvl w:ilvl="3" w:tplc="001A42E6">
      <w:start w:val="1"/>
      <w:numFmt w:val="bullet"/>
      <w:lvlText w:val="●"/>
      <w:lvlJc w:val="left"/>
      <w:pPr>
        <w:ind w:left="2880" w:hanging="360"/>
      </w:pPr>
    </w:lvl>
    <w:lvl w:ilvl="4" w:tplc="BD84ECAE">
      <w:start w:val="1"/>
      <w:numFmt w:val="bullet"/>
      <w:lvlText w:val="○"/>
      <w:lvlJc w:val="left"/>
      <w:pPr>
        <w:ind w:left="3600" w:hanging="360"/>
      </w:pPr>
    </w:lvl>
    <w:lvl w:ilvl="5" w:tplc="7988B6F0">
      <w:start w:val="1"/>
      <w:numFmt w:val="bullet"/>
      <w:lvlText w:val="■"/>
      <w:lvlJc w:val="left"/>
      <w:pPr>
        <w:ind w:left="4320" w:hanging="360"/>
      </w:pPr>
    </w:lvl>
    <w:lvl w:ilvl="6" w:tplc="BE880820">
      <w:start w:val="1"/>
      <w:numFmt w:val="bullet"/>
      <w:lvlText w:val="●"/>
      <w:lvlJc w:val="left"/>
      <w:pPr>
        <w:ind w:left="5040" w:hanging="360"/>
      </w:pPr>
    </w:lvl>
    <w:lvl w:ilvl="7" w:tplc="31444E4E">
      <w:start w:val="1"/>
      <w:numFmt w:val="bullet"/>
      <w:lvlText w:val="●"/>
      <w:lvlJc w:val="left"/>
      <w:pPr>
        <w:ind w:left="5760" w:hanging="360"/>
      </w:pPr>
    </w:lvl>
    <w:lvl w:ilvl="8" w:tplc="7256AF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709C7"/>
    <w:multiLevelType w:val="hybridMultilevel"/>
    <w:tmpl w:val="8C2269D4"/>
    <w:lvl w:ilvl="0" w:tplc="80EA0D06">
      <w:start w:val="1"/>
      <w:numFmt w:val="bullet"/>
      <w:lvlText w:val="▸"/>
      <w:lvlJc w:val="left"/>
      <w:pPr>
        <w:ind w:left="360" w:hanging="240"/>
      </w:pPr>
    </w:lvl>
    <w:lvl w:ilvl="1" w:tplc="EED4EC52">
      <w:numFmt w:val="decimal"/>
      <w:lvlText w:val=""/>
      <w:lvlJc w:val="left"/>
    </w:lvl>
    <w:lvl w:ilvl="2" w:tplc="85A8149C">
      <w:numFmt w:val="decimal"/>
      <w:lvlText w:val=""/>
      <w:lvlJc w:val="left"/>
    </w:lvl>
    <w:lvl w:ilvl="3" w:tplc="F53CCA98">
      <w:numFmt w:val="decimal"/>
      <w:lvlText w:val=""/>
      <w:lvlJc w:val="left"/>
    </w:lvl>
    <w:lvl w:ilvl="4" w:tplc="B966F0CC">
      <w:numFmt w:val="decimal"/>
      <w:lvlText w:val=""/>
      <w:lvlJc w:val="left"/>
    </w:lvl>
    <w:lvl w:ilvl="5" w:tplc="46AA5B06">
      <w:numFmt w:val="decimal"/>
      <w:lvlText w:val=""/>
      <w:lvlJc w:val="left"/>
    </w:lvl>
    <w:lvl w:ilvl="6" w:tplc="7B3C1C32">
      <w:numFmt w:val="decimal"/>
      <w:lvlText w:val=""/>
      <w:lvlJc w:val="left"/>
    </w:lvl>
    <w:lvl w:ilvl="7" w:tplc="22764C52">
      <w:numFmt w:val="decimal"/>
      <w:lvlText w:val=""/>
      <w:lvlJc w:val="left"/>
    </w:lvl>
    <w:lvl w:ilvl="8" w:tplc="6EAC545E">
      <w:numFmt w:val="decimal"/>
      <w:lvlText w:val=""/>
      <w:lvlJc w:val="left"/>
    </w:lvl>
  </w:abstractNum>
  <w:num w:numId="1" w16cid:durableId="602810464">
    <w:abstractNumId w:val="0"/>
    <w:lvlOverride w:ilvl="0">
      <w:startOverride w:val="1"/>
    </w:lvlOverride>
  </w:num>
  <w:num w:numId="2" w16cid:durableId="853887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73"/>
    <w:rsid w:val="00B63973"/>
    <w:rsid w:val="00DB7866"/>
    <w:rsid w:val="00F7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FE2A"/>
  <w15:docId w15:val="{68E97F7F-8CD5-493C-BE3B-BBA1663C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Kreimerman</cp:lastModifiedBy>
  <cp:revision>2</cp:revision>
  <dcterms:created xsi:type="dcterms:W3CDTF">2026-05-01T14:04:00Z</dcterms:created>
  <dcterms:modified xsi:type="dcterms:W3CDTF">2026-05-01T14:29:00Z</dcterms:modified>
</cp:coreProperties>
</file>