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rPr>
          <w:rFonts w:ascii="Arial" w:cs="Arial" w:eastAsia="Arial" w:hAnsi="Arial"/>
        </w:rPr>
        <w:t xml:space="preserve"/>
      </w:r>
    </w:p>
    <w:p>
      <w:pPr>
        <w:spacing w:after="240" w:before="0"/>
        <w:jc w:val="left"/>
      </w:pPr>
      <w:r>
        <w:rPr>
          <w:rFonts w:ascii="Arial" w:cs="Arial" w:eastAsia="Arial" w:hAnsi="Arial"/>
          <w:b/>
          <w:bCs/>
          <w:color w:val="2E75B6"/>
          <w:spacing w:val="60"/>
          <w:sz w:val="22"/>
          <w:szCs w:val="22"/>
        </w:rPr>
        <w:t xml:space="preserve">METODOLOGÍA DE IMPLEMENTACIÓN DE IA PARA EMPRESAS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6B7280"/>
          <w:sz w:val="28"/>
          <w:szCs w:val="28"/>
        </w:rPr>
        <w:t xml:space="preserve">Módulo 2</w:t>
      </w:r>
    </w:p>
    <w:p>
      <w:pPr>
        <w:spacing w:after="0" w:before="0"/>
        <w:jc w:val="left"/>
      </w:pPr>
      <w:r>
        <w:rPr>
          <w:rFonts w:ascii="Arial" w:cs="Arial" w:eastAsia="Arial" w:hAnsi="Arial"/>
          <w:b/>
          <w:bCs/>
          <w:color w:val="1F3A5F"/>
          <w:sz w:val="60"/>
          <w:szCs w:val="60"/>
        </w:rPr>
        <w:t xml:space="preserve">Diagnóstico y mapa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F3A5F"/>
          <w:sz w:val="60"/>
          <w:szCs w:val="60"/>
        </w:rPr>
        <w:t xml:space="preserve">de oportunidades</w:t>
      </w:r>
    </w:p>
    <w:p>
      <w:pPr>
        <w:spacing w:after="480" w:before="80" w:line="360"/>
        <w:jc w:val="left"/>
      </w:pPr>
      <w:r>
        <w:rPr>
          <w:rFonts w:ascii="Arial" w:cs="Arial" w:eastAsia="Arial" w:hAnsi="Arial"/>
          <w:i/>
          <w:iCs/>
          <w:color w:val="2D2D2D"/>
          <w:sz w:val="28"/>
          <w:szCs w:val="28"/>
        </w:rPr>
        <w:t xml:space="preserve">De los vectores estratégicos a las iniciativas concretas, priorizadas y operables.</w:t>
      </w:r>
    </w:p>
    <w:p>
      <w:pPr>
        <w:pBdr>
          <w:bottom w:val="single" w:color="1F3A5F" w:sz="12" w:space="1"/>
        </w:pBdr>
        <w:spacing w:after="240" w:before="120"/>
      </w:pPr>
      <w:r>
        <w:rPr>
          <w:rFonts w:ascii="Arial" w:cs="Arial" w:eastAsia="Arial" w:hAnsi="Arial"/>
        </w:rPr>
        <w:t xml:space="preserve"> </w:t>
      </w:r>
    </w:p>
    <w:p>
      <w:pPr>
        <w:spacing w:after="360" w:before="120" w:line="360"/>
      </w:pPr>
      <w:r>
        <w:rPr>
          <w:rFonts w:ascii="Arial" w:cs="Arial" w:eastAsia="Arial" w:hAnsi="Arial"/>
          <w:color w:val="2D2D2D"/>
          <w:sz w:val="24"/>
          <w:szCs w:val="24"/>
        </w:rPr>
        <w:t xml:space="preserve">Cómo identificamos, instrumentamos y priorizamos los candidatos a iniciativa de IA en ocho áreas funcionales, con un método replicable y dos instrumentos cuantificables.</w:t>
      </w:r>
    </w:p>
    <w:p>
      <w:pPr>
        <w:spacing w:after="0" w:before="1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DURACIÓN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INSTRUMENTOS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ENTREGABLE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2-3 semanas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Cuestionario + matriz + mapa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Lista priorizada de candidatos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pPr>
        <w:spacing w:after="0" w:before="60"/>
        <w:jc w:val="left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Versión 1.0  |  Documento metodológico ejecutivo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2240" w:h="15840" w:orient="portrait"/>
          <w:pgMar w:top="1440" w:right="1440" w:bottom="1440" w:left="1440" w:header="708" w:footer="708" w:gutter="0"/>
          <w:pgNumType/>
          <w:titlePg/>
          <w:docGrid w:linePitch="360"/>
        </w:sectPr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75B6"/>
          <w:spacing w:val="40"/>
          <w:sz w:val="18"/>
          <w:szCs w:val="18"/>
        </w:rPr>
        <w:t xml:space="preserve">RESUMEN EJECUTIVO</w:t>
      </w: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Del marco al inventario priorizado</w:t>
      </w:r>
    </w:p>
    <w:p>
      <w:pPr>
        <w:spacing w:after="180" w:before="120" w:line="320"/>
      </w:pPr>
      <w:r>
        <w:rPr>
          <w:rFonts w:ascii="Arial" w:cs="Arial" w:eastAsia="Arial" w:hAnsi="Arial"/>
          <w:color w:val="2D2D2D"/>
          <w:sz w:val="24"/>
          <w:szCs w:val="24"/>
        </w:rPr>
        <w:t xml:space="preserve">El Módulo 2 traduce la conversación estratégica en una lista corta de candidatos a iniciativa de IA, ya filtrada por valor, esfuerzo y madurez. Es la fábrica de buenos casos para el portafolio del Módulo 3 y, junto con el Módulo 4, evita que el cliente invierta en iniciativas que no van a llegar a producción.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Lo que entrega este módulo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Inventario de oportunidades de IA por área funcional, sistematizado en plantilla común.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Score de IA-readiness de cada área (cuán lista está para ejecutar) con cuestionario de 16 preguntas.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Matriz valor/esfuerzo cuantificada con ponderadores explícitos.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Mapa de calor por área × vector de valor para visualizar la concentración de oportunidades.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Lista priorizada de candidatos lista para alimentar el portafolio del Módulo 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1"/>
              <w:left w:val="single" w:color="1F3A5F" w:sz="18"/>
              <w:bottom w:val="single" w:color="1F3A5F" w:sz="1"/>
              <w:right w:val="single" w:color="1F3A5F" w:sz="1"/>
            </w:tcBorders>
            <w:shd w:fill="F7F9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Por qué este módulo importa comercialmente</w:t>
            </w:r>
          </w:p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Sin diagnóstico estructurado, las iniciativas se eligen por entusiasmo o por presión política. Con diagnóstico, se eligen por evidencia. La diferencia se materializa en menos pilotos abandonados, más casos llegando a producción y conversaciones de presupuesto mucho más sólidas frente al comité financiero.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1. Las cinco lentes del diagnóstico</w:t>
      </w:r>
    </w:p>
    <w:p>
      <w:pPr>
        <w:spacing w:after="180" w:before="120" w:line="320"/>
      </w:pPr>
      <w:r>
        <w:rPr>
          <w:rFonts w:ascii="Arial" w:cs="Arial" w:eastAsia="Arial" w:hAnsi="Arial"/>
          <w:color w:val="2D2D2D"/>
          <w:sz w:val="24"/>
          <w:szCs w:val="24"/>
        </w:rPr>
        <w:t xml:space="preserve">El diagnóstico se construye mirando cada área funcional desde cinco lentes. La combinación de las cinco evita el sesgo de "lo que se ve es lo que hay".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  <w:gridCol w:w="288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Lente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Qué busca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Instrumento principal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Pain points operativos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Problemas concretos del día a día: cuellos de botella, tareas repetitivas, errores frecuentes, retrabajos.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Workshop por área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Oportunidades estratégicas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Casos alineados con los cinco vectores de valor del Módulo 1: eficiencia, ingresos, experiencia, riesgo, talento.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Mapeo a vectores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Madurez de datos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Disponibilidad, calidad, accesibilidad y trazabilidad de los datos del área.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Cuestionario, bloque A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Receptividad cultural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Apertura del equipo y del liderazgo del área a adoptar herramientas de IA.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Cuestionario, bloque C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Ventana de oportunidad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Movimientos del mercado, presión competitiva o cambio regulatorio que hacen el momento favorable.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Análisis externo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2. Cuestionario IA-readiness por área</w:t>
      </w:r>
    </w:p>
    <w:p>
      <w:pPr>
        <w:spacing w:after="180" w:before="120" w:line="320"/>
      </w:pPr>
      <w:r>
        <w:rPr>
          <w:rFonts w:ascii="Arial" w:cs="Arial" w:eastAsia="Arial" w:hAnsi="Arial"/>
          <w:color w:val="2D2D2D"/>
          <w:sz w:val="24"/>
          <w:szCs w:val="24"/>
        </w:rPr>
        <w:t xml:space="preserve">Se aplica a cada una de las ocho áreas funcionales con el líder del área y un perfil técnico/datos del área. 16 preguntas en cuatro bloques. Escala 1 (no existe / muy bajo) a 5 (sistemático / muy alto). Tiempo de aplicación: 30-45 minutos por área.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2.1  Las ocho áreas estándar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Ventas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Marketing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Servicio al cliente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Finanzas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Recursos Humanos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Operaciones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Supply chain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Legal y compliance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2.2  Bloque A — Datos disponibles</w:t>
      </w:r>
    </w:p>
    <w:p>
      <w:pPr>
        <w:spacing w:after="120" w:before="60" w:line="3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QA1.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¿El área cuenta con datos históricos digitales suficientes (mínimo 12-24 meses) sobre sus procesos clave?</w:t>
      </w:r>
    </w:p>
    <w:p>
      <w:pPr>
        <w:spacing w:after="120" w:before="60" w:line="3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QA2.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¿La calidad de esos datos es buena (completitud, consistencia, oportunidad)?</w:t>
      </w:r>
    </w:p>
    <w:p>
      <w:pPr>
        <w:spacing w:after="120" w:before="60" w:line="3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QA3.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¿Los datos son accesibles para análisis sin proyectos especiales de extracción?</w:t>
      </w:r>
    </w:p>
    <w:p>
      <w:pPr>
        <w:spacing w:after="120" w:before="60" w:line="3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QA4.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¿Existen políticas de privacidad y residencia que cubren el uso analítico de esos datos?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2.3  Bloque B — Procesos automatizables</w:t>
      </w:r>
    </w:p>
    <w:p>
      <w:pPr>
        <w:spacing w:after="120" w:before="60" w:line="3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QB1.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¿Hay procesos repetitivos, de alto volumen y reglas relativamente estables en el área?</w:t>
      </w:r>
    </w:p>
    <w:p>
      <w:pPr>
        <w:spacing w:after="120" w:before="60" w:line="3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QB2.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¿Existen decisiones recurrentes basadas en patrones identificables (clasificación, predicción, scoring)?</w:t>
      </w:r>
    </w:p>
    <w:p>
      <w:pPr>
        <w:spacing w:after="120" w:before="60" w:line="3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QB3.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¿El área maneja contenido no estructurado (texto, voz, documentos) en volumen relevante?</w:t>
      </w:r>
    </w:p>
    <w:p>
      <w:pPr>
        <w:spacing w:after="120" w:before="60" w:line="3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QB4.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¿Los procesos del área están documentados con suficiente claridad para ser intervenidos?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2.4  Bloque C — Capacidad y receptividad del equipo</w:t>
      </w:r>
    </w:p>
    <w:p>
      <w:pPr>
        <w:spacing w:after="120" w:before="60" w:line="3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QC1.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¿El liderazgo del área está abierto a incorporar IA y patrocina el cambio?</w:t>
      </w:r>
    </w:p>
    <w:p>
      <w:pPr>
        <w:spacing w:after="120" w:before="60" w:line="3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QC2.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¿Existen perfiles en el área con afinidad analítica/digital, o aliados naturales para una iniciativa?</w:t>
      </w:r>
    </w:p>
    <w:p>
      <w:pPr>
        <w:spacing w:after="120" w:before="60" w:line="3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QC3.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¿La cultura del área tolera experimentos que pueden fallar sin penalizar a los responsables?</w:t>
      </w:r>
    </w:p>
    <w:p>
      <w:pPr>
        <w:spacing w:after="120" w:before="60" w:line="3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QC4.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¿El área ya ha pasado por proyectos de transformación digital con resultados razonables?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2.5  Bloque D — Alineación con estrategia</w:t>
      </w:r>
    </w:p>
    <w:p>
      <w:pPr>
        <w:spacing w:after="120" w:before="60" w:line="3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QD1.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¿Los objetivos del área para el año están claros, son medibles y conectados con la estrategia?</w:t>
      </w:r>
    </w:p>
    <w:p>
      <w:pPr>
        <w:spacing w:after="120" w:before="60" w:line="3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QD2.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¿Hay al menos un indicador clave del área donde la IA podría mover la aguja de forma significativa?</w:t>
      </w:r>
    </w:p>
    <w:p>
      <w:pPr>
        <w:spacing w:after="120" w:before="60" w:line="3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QD3.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¿El presupuesto del área permite financiar al menos un proyecto de IA acotado en el horizonte de 12 meses?</w:t>
      </w:r>
    </w:p>
    <w:p>
      <w:pPr>
        <w:spacing w:after="120" w:before="60" w:line="3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QD4.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¿La iniciativa potencial de IA tiene una ventana de oportunidad clara (regulatoria, competitiva, de mercado)?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2.6  Lectura del cuestionario</w:t>
      </w:r>
    </w:p>
    <w:p>
      <w:pPr>
        <w:spacing w:after="12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Promedio del bloque = puntaje del bloque. Promedio de los cuatro bloques = score de IA-readiness del área. La interpretación recomendada: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Score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Lectura del área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1.0 — 2.4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Baja readiness. Antes de iniciativas de IA, invertir en cerrar brechas (datos, equipo o ambos). Riesgo alto de fracaso.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2.5 — 3.4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Readiness intermedia. Posible piloto acotado con apoyo externo y disciplina, pero sin pretensión de portafolio amplio.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3.5 — 4.4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Readiness sólida. Área candidata natural para casos prioritarios y para construir capacidades replicables.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4.5 — 5.0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Readiness alta. Área de punta. Casos transformacionales viables; debe modelar prácticas para el resto de la organización.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3. Mapa de calor: áreas × vectores de valor</w:t>
      </w:r>
    </w:p>
    <w:p>
      <w:pPr>
        <w:spacing w:after="180" w:before="120" w:line="320"/>
      </w:pPr>
      <w:r>
        <w:rPr>
          <w:rFonts w:ascii="Arial" w:cs="Arial" w:eastAsia="Arial" w:hAnsi="Arial"/>
          <w:color w:val="2D2D2D"/>
          <w:sz w:val="24"/>
          <w:szCs w:val="24"/>
        </w:rPr>
        <w:t xml:space="preserve">El mapa cruza las ocho áreas con los cinco vectores de valor del Módulo 1. Cada celda recoge la intensidad de oportunidades identificadas para esa combinación. El propósito es visualizar concentraciones y vacíos del portafolio futuro.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3.1  Mapa de calor de referencia (concentraciones típicas)</w:t>
      </w:r>
    </w:p>
    <w:p>
      <w:pPr>
        <w:spacing w:after="12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Las intensidades siguientes son patrones observados en el mercado. No reemplazan el diagnóstico real; sirven como marco para sospechar dónde mirar primero en cada área.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1488"/>
        <w:gridCol w:w="1488"/>
        <w:gridCol w:w="1488"/>
        <w:gridCol w:w="1488"/>
        <w:gridCol w:w="1488"/>
      </w:tblGrid>
      <w:tr>
        <w:trPr>
          <w:tblHeader/>
        </w:trPr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Área</w:t>
            </w:r>
          </w:p>
        </w:tc>
        <w:tc>
          <w:tcPr>
            <w:tcW w:type="dxa" w:w="1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Eficiencia</w:t>
            </w:r>
          </w:p>
        </w:tc>
        <w:tc>
          <w:tcPr>
            <w:tcW w:type="dxa" w:w="1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Ingresos</w:t>
            </w:r>
          </w:p>
        </w:tc>
        <w:tc>
          <w:tcPr>
            <w:tcW w:type="dxa" w:w="1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Experiencia</w:t>
            </w:r>
          </w:p>
        </w:tc>
        <w:tc>
          <w:tcPr>
            <w:tcW w:type="dxa" w:w="1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Riesgo</w:t>
            </w:r>
          </w:p>
        </w:tc>
        <w:tc>
          <w:tcPr>
            <w:tcW w:type="dxa" w:w="1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Talento</w:t>
            </w:r>
          </w:p>
        </w:tc>
      </w:tr>
      <w:tr>
        <w:trPr>
          <w:tblHeader w:val="false"/>
        </w:trPr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Ventas</w:t>
            </w:r>
          </w:p>
        </w:tc>
        <w:tc>
          <w:tcPr>
            <w:tcW w:type="dxa" w:w="1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●●●</w:t>
            </w:r>
          </w:p>
        </w:tc>
        <w:tc>
          <w:tcPr>
            <w:tcW w:type="dxa" w:w="1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●●●●</w:t>
            </w:r>
          </w:p>
        </w:tc>
        <w:tc>
          <w:tcPr>
            <w:tcW w:type="dxa" w:w="1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●●●</w:t>
            </w:r>
          </w:p>
        </w:tc>
        <w:tc>
          <w:tcPr>
            <w:tcW w:type="dxa" w:w="1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7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●</w:t>
            </w:r>
          </w:p>
        </w:tc>
        <w:tc>
          <w:tcPr>
            <w:tcW w:type="dxa" w:w="1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●●</w:t>
            </w:r>
          </w:p>
        </w:tc>
      </w:tr>
      <w:tr>
        <w:trPr>
          <w:tblHeader w:val="false"/>
        </w:trPr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Marketing</w:t>
            </w:r>
          </w:p>
        </w:tc>
        <w:tc>
          <w:tcPr>
            <w:tcW w:type="dxa" w:w="1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●●</w:t>
            </w:r>
          </w:p>
        </w:tc>
        <w:tc>
          <w:tcPr>
            <w:tcW w:type="dxa" w:w="1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●●●●</w:t>
            </w:r>
          </w:p>
        </w:tc>
        <w:tc>
          <w:tcPr>
            <w:tcW w:type="dxa" w:w="1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●●●●</w:t>
            </w:r>
          </w:p>
        </w:tc>
        <w:tc>
          <w:tcPr>
            <w:tcW w:type="dxa" w:w="1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7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●</w:t>
            </w:r>
          </w:p>
        </w:tc>
        <w:tc>
          <w:tcPr>
            <w:tcW w:type="dxa" w:w="1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●●</w:t>
            </w:r>
          </w:p>
        </w:tc>
      </w:tr>
      <w:tr>
        <w:trPr>
          <w:tblHeader w:val="false"/>
        </w:trPr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Servicio al cliente</w:t>
            </w:r>
          </w:p>
        </w:tc>
        <w:tc>
          <w:tcPr>
            <w:tcW w:type="dxa" w:w="1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●●●●</w:t>
            </w:r>
          </w:p>
        </w:tc>
        <w:tc>
          <w:tcPr>
            <w:tcW w:type="dxa" w:w="1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●●</w:t>
            </w:r>
          </w:p>
        </w:tc>
        <w:tc>
          <w:tcPr>
            <w:tcW w:type="dxa" w:w="1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●●●●</w:t>
            </w:r>
          </w:p>
        </w:tc>
        <w:tc>
          <w:tcPr>
            <w:tcW w:type="dxa" w:w="1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●●</w:t>
            </w:r>
          </w:p>
        </w:tc>
        <w:tc>
          <w:tcPr>
            <w:tcW w:type="dxa" w:w="1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Finanzas</w:t>
            </w:r>
          </w:p>
        </w:tc>
        <w:tc>
          <w:tcPr>
            <w:tcW w:type="dxa" w:w="1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●●●●</w:t>
            </w:r>
          </w:p>
        </w:tc>
        <w:tc>
          <w:tcPr>
            <w:tcW w:type="dxa" w:w="1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●●</w:t>
            </w:r>
          </w:p>
        </w:tc>
        <w:tc>
          <w:tcPr>
            <w:tcW w:type="dxa" w:w="1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7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●</w:t>
            </w:r>
          </w:p>
        </w:tc>
        <w:tc>
          <w:tcPr>
            <w:tcW w:type="dxa" w:w="1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●●●●</w:t>
            </w:r>
          </w:p>
        </w:tc>
        <w:tc>
          <w:tcPr>
            <w:tcW w:type="dxa" w:w="1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●●</w:t>
            </w:r>
          </w:p>
        </w:tc>
      </w:tr>
      <w:tr>
        <w:trPr>
          <w:tblHeader w:val="false"/>
        </w:trPr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Recursos Humanos</w:t>
            </w:r>
          </w:p>
        </w:tc>
        <w:tc>
          <w:tcPr>
            <w:tcW w:type="dxa" w:w="1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●●●</w:t>
            </w:r>
          </w:p>
        </w:tc>
        <w:tc>
          <w:tcPr>
            <w:tcW w:type="dxa" w:w="1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7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●</w:t>
            </w:r>
          </w:p>
        </w:tc>
        <w:tc>
          <w:tcPr>
            <w:tcW w:type="dxa" w:w="1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●●</w:t>
            </w:r>
          </w:p>
        </w:tc>
        <w:tc>
          <w:tcPr>
            <w:tcW w:type="dxa" w:w="1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●●</w:t>
            </w:r>
          </w:p>
        </w:tc>
        <w:tc>
          <w:tcPr>
            <w:tcW w:type="dxa" w:w="1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●●●●</w:t>
            </w:r>
          </w:p>
        </w:tc>
      </w:tr>
      <w:tr>
        <w:trPr>
          <w:tblHeader w:val="false"/>
        </w:trPr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Operaciones</w:t>
            </w:r>
          </w:p>
        </w:tc>
        <w:tc>
          <w:tcPr>
            <w:tcW w:type="dxa" w:w="1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●●●●</w:t>
            </w:r>
          </w:p>
        </w:tc>
        <w:tc>
          <w:tcPr>
            <w:tcW w:type="dxa" w:w="1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●●</w:t>
            </w:r>
          </w:p>
        </w:tc>
        <w:tc>
          <w:tcPr>
            <w:tcW w:type="dxa" w:w="1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●●</w:t>
            </w:r>
          </w:p>
        </w:tc>
        <w:tc>
          <w:tcPr>
            <w:tcW w:type="dxa" w:w="1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●●●</w:t>
            </w:r>
          </w:p>
        </w:tc>
        <w:tc>
          <w:tcPr>
            <w:tcW w:type="dxa" w:w="1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Supply chain</w:t>
            </w:r>
          </w:p>
        </w:tc>
        <w:tc>
          <w:tcPr>
            <w:tcW w:type="dxa" w:w="1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●●●●</w:t>
            </w:r>
          </w:p>
        </w:tc>
        <w:tc>
          <w:tcPr>
            <w:tcW w:type="dxa" w:w="1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●●</w:t>
            </w:r>
          </w:p>
        </w:tc>
        <w:tc>
          <w:tcPr>
            <w:tcW w:type="dxa" w:w="1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7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●</w:t>
            </w:r>
          </w:p>
        </w:tc>
        <w:tc>
          <w:tcPr>
            <w:tcW w:type="dxa" w:w="1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●●●</w:t>
            </w:r>
          </w:p>
        </w:tc>
        <w:tc>
          <w:tcPr>
            <w:tcW w:type="dxa" w:w="1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7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●</w:t>
            </w:r>
          </w:p>
        </w:tc>
      </w:tr>
      <w:tr>
        <w:trPr>
          <w:tblHeader w:val="false"/>
        </w:trPr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Legal / compliance</w:t>
            </w:r>
          </w:p>
        </w:tc>
        <w:tc>
          <w:tcPr>
            <w:tcW w:type="dxa" w:w="1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●●●</w:t>
            </w:r>
          </w:p>
        </w:tc>
        <w:tc>
          <w:tcPr>
            <w:tcW w:type="dxa" w:w="1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7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●</w:t>
            </w:r>
          </w:p>
        </w:tc>
        <w:tc>
          <w:tcPr>
            <w:tcW w:type="dxa" w:w="1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7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●</w:t>
            </w:r>
          </w:p>
        </w:tc>
        <w:tc>
          <w:tcPr>
            <w:tcW w:type="dxa" w:w="1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●●●●</w:t>
            </w:r>
          </w:p>
        </w:tc>
        <w:tc>
          <w:tcPr>
            <w:tcW w:type="dxa" w:w="1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●●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Lectura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Arial" w:cs="Arial" w:eastAsia="Arial" w:hAnsi="Arial"/>
          <w:b/>
          <w:bCs/>
        </w:rPr>
        <w:t xml:space="preserve">●●●● — Concentración alta: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área-vector con múltiples casos maduros y de alto valor en el mercado.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Arial" w:cs="Arial" w:eastAsia="Arial" w:hAnsi="Arial"/>
          <w:b/>
          <w:bCs/>
        </w:rPr>
        <w:t xml:space="preserve">●●● — Concentración media: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casos viables y probados, pero el valor depende del contexto del cliente.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Arial" w:cs="Arial" w:eastAsia="Arial" w:hAnsi="Arial"/>
          <w:b/>
          <w:bCs/>
        </w:rPr>
        <w:t xml:space="preserve">●● — Baja: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casos posibles pero menos diferenciadores; usar selectivamente.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Arial" w:cs="Arial" w:eastAsia="Arial" w:hAnsi="Arial"/>
          <w:b/>
          <w:bCs/>
        </w:rPr>
        <w:t xml:space="preserve">● — Marginal: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área-vector poco productiva; no priorizar salvo razón estratégica específica.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7F9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Cómo se usa el mapa</w:t>
            </w:r>
          </w:p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El mapa de referencia es punto de partida, no veredicto. En el diagnóstico real se construye un mapa propio del cliente, contrastando este patrón con el inventario real de oportunidades y los scores de readiness. Las celdas en verde con readiness alta son los candidatos naturales del portafolio inicial.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4. Plantilla de identificación de oportunidad</w:t>
      </w:r>
    </w:p>
    <w:p>
      <w:pPr>
        <w:spacing w:after="180" w:before="120" w:line="320"/>
      </w:pPr>
      <w:r>
        <w:rPr>
          <w:rFonts w:ascii="Arial" w:cs="Arial" w:eastAsia="Arial" w:hAnsi="Arial"/>
          <w:color w:val="2D2D2D"/>
          <w:sz w:val="24"/>
          <w:szCs w:val="24"/>
        </w:rPr>
        <w:t xml:space="preserve">Cada oportunidad identificada en los workshops por área se sistematiza con esta plantilla, que se vuelve insumo directo de la matriz valor/esfuerzo y del portafolio del Módulo 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Campo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Qué describe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1. Nombre corto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Etiqueta interna; máximo 8 palabras.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2. Área propietaria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Área funcional dueña del problema y, eventualmente, de la solución.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3. Problema en una frase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Descripción del dolor o de la oportunidad sin lenguaje tecnológico.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4. Vector de valor primario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Eficiencia, ingresos, experiencia, riesgo o talento (uno; el dominante).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5. Indicador clave a mover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Métrica concreta del negocio impactada y magnitud esperada del cambio.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6. Hipótesis de familia de IA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Reglas, ML clásico o GenAI / Agentes (referencia al Módulo 4 para refinar).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7. Datos requeridos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Fuentes, volumen aproximado, calidad observada, brechas conocidas.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8. Riesgos visibles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Regulatorios, técnicos, de adopción o de cambio organizacional.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spacing w:after="12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La plantilla tiene un solo objetivo: producir descripciones comparables. Cuando todas las oportunidades del inventario están en el mismo formato, la matriz valor/esfuerzo es directa y defendible.</w:t>
      </w:r>
    </w:p>
    <w:p>
      <w:pPr>
        <w:pStyle w:val="Heading1"/>
        <w:pageBreakBefore/>
        <w:spacing w:after="240" w:before="48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5. Matriz valor / esfuerzo con ponderadores</w:t>
      </w:r>
    </w:p>
    <w:p>
      <w:pPr>
        <w:spacing w:after="180" w:before="120" w:line="320"/>
      </w:pPr>
      <w:r>
        <w:rPr>
          <w:rFonts w:ascii="Arial" w:cs="Arial" w:eastAsia="Arial" w:hAnsi="Arial"/>
          <w:color w:val="2D2D2D"/>
          <w:sz w:val="24"/>
          <w:szCs w:val="24"/>
        </w:rPr>
        <w:t xml:space="preserve">Cada oportunidad recibe un score de valor y un score de esfuerzo, ambos calculados con criterios ponderados. El cruce de los dos scores produce el cuadrante de priorización. Los pesos están sugeridos como default y son editables por industria o cliente.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5.1  Criterios de valor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320"/>
        <w:gridCol w:w="516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Criterio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Peso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Cómo se evalúa (1-5)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Impacto financiero esperado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30%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Magnitud del retorno (ahorro o ingreso) en horizonte de 24 meses, neto de costos.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Alineación estratégica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25%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Conexión directa con un objetivo estratégico explícito del año.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20%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Reutilización del activo en otras áreas, geografías o segmentos.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Ventaja competitiva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15%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Diferenciación respecto del mercado / competencia. Durabilidad de la ventaja.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Tiempo a valor (time-to-value)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10%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Velocidad con la que el caso entrega resultado tangible (penaliza horizontes largos).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TOTAL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100%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5.2  Criterios de esfuerzo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320"/>
        <w:gridCol w:w="516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Criterio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Peso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Cómo se evalúa (1-5; alto = más esfuerzo)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Complejidad técnica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25%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Sofisticación del modelo, integración con sistemas, infraestructura requerida.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Disponibilidad y calidad de datos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25%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Brechas de datos a cerrar antes o durante el proyecto. Costo y tiempo de habilitación.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Complejidad organizacional / cambio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20%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Magnitud del cambio en personas, procesos y rituales del área. Riesgo de "miedo al reemplazo".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Sensibilidad regulatoria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15%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EU AI Act, GDPR, normativa sectorial. Esfuerzo de cumplimiento, documentación y auditoría.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Costo total de propiedad (TCO)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15%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Inversión inicial + operación + talento + licenciamiento en horizonte de 36 meses.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TOTAL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100%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5.3  Cálculo y cuadrantes</w:t>
      </w:r>
    </w:p>
    <w:p>
      <w:pPr>
        <w:spacing w:after="12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Score de valor = Σ (puntaje × peso) escalado a 100. Score de esfuerzo = Σ (puntaje × peso) escalado a 100. El cruce de ambos sitúa cada oportunidad en uno de cuatro cuadrantes.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Esfuerzo bajo (≤ 50)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Esfuerzo alto (&gt; 50)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Valor alto (&gt; 50)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QUICK WINS</w:t>
            </w:r>
          </w:p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Iniciativas prioritarias del primer horizonte. Demuestran valor rápido y construyen tracción.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APUESTAS ESTRATÉGICAS</w:t>
            </w:r>
          </w:p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Iniciativas transformacionales. Mayor riesgo, mayor retorno, requieren disciplina y patrocinio fuerte.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Valor bajo (≤ 50)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RELLENO TÁCTICO</w:t>
            </w:r>
          </w:p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Útiles para construir capacidad o ganar momentum, pero no son del portafolio principal.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DESCARTAR</w:t>
            </w:r>
          </w:p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Mucho esfuerzo, poco valor. Salir del inventario salvo razón política o regulatoria irrenunciable.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Reglas prácticas de uso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Arial" w:cs="Arial" w:eastAsia="Arial" w:hAnsi="Arial"/>
          <w:b/>
          <w:bCs/>
        </w:rPr>
        <w:t xml:space="preserve">Tamaño del portafolio inicial: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entre 3 y 5 quick wins más una apuesta estratégica. Mezclar horizontes mantiene momentum y construye visión.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Arial" w:cs="Arial" w:eastAsia="Arial" w:hAnsi="Arial"/>
          <w:b/>
          <w:bCs/>
        </w:rPr>
        <w:t xml:space="preserve">Pesos editables por industria: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en sectores muy regulados puede subir el peso de "sensibilidad regulatoria" a 25-30% del esfuerzo. En empresas de crecimiento, time-to-value puede subir a 15-20% del valor.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Arial" w:cs="Arial" w:eastAsia="Arial" w:hAnsi="Arial"/>
          <w:b/>
          <w:bCs/>
        </w:rPr>
        <w:t xml:space="preserve">Doble lectura readiness: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una oportunidad con score alto en una área de baja IA-readiness (≤ 2.4) se descalifica o se pospone hasta cerrar la brecha. Sin readiness, el score de valor es teórico.</w:t>
      </w:r>
    </w:p>
    <w:p>
      <w:pPr>
        <w:pStyle w:val="Heading1"/>
        <w:pageBreakBefore/>
        <w:spacing w:after="240" w:before="48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6. La salida del módulo</w:t>
      </w:r>
    </w:p>
    <w:p>
      <w:pPr>
        <w:spacing w:after="180" w:before="120" w:line="320"/>
      </w:pPr>
      <w:r>
        <w:rPr>
          <w:rFonts w:ascii="Arial" w:cs="Arial" w:eastAsia="Arial" w:hAnsi="Arial"/>
          <w:color w:val="2D2D2D"/>
          <w:sz w:val="24"/>
          <w:szCs w:val="24"/>
        </w:rPr>
        <w:t xml:space="preserve">La salida formal es un documento de candidatos priorizados, listo para alimentar el portafolio del Módulo 3. Un documento de cuatro a seis páginas que se entrega y se firma.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6.1  Estructura del documento de salida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Resumen ejecutivo de una página: contexto, diagnóstico de madurez por área, conclusiones.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Mapa de calor del cliente con concentraciones reales identificadas.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Lista priorizada de 8-12 candidatos, con score de valor, score de esfuerzo, cuadrante y readiness del área propietaria.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Ficha de una página por candidato (plantilla de oportunidad completa, sección 4).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Recomendación de portafolio inicial: quick wins propuestos + una apuesta estratégica + criterio de paso al Módulo 3.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6.2  Cómo arranca el diagnóstico</w:t>
      </w:r>
    </w:p>
    <w:p>
      <w:pPr>
        <w:spacing w:after="12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El Módulo 2 se ejecuta en 2-3 semanas con un equipo mixto del consultor y el cliente. La cadencia recomendada: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3240"/>
        <w:gridCol w:w="4500"/>
      </w:tblGrid>
      <w:tr>
        <w:trPr>
          <w:tblHeader/>
        </w:trP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Semana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Foco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Entregable</w:t>
            </w:r>
          </w:p>
        </w:tc>
      </w:tr>
      <w:tr>
        <w:trPr>
          <w:tblHeader w:val="false"/>
        </w:trP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Semana 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Aplicación del cuestionario IA-readiness en las 8 áreas + workshops de identificación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Inventario inicial de oportunidades + scores de readiness</w:t>
            </w:r>
          </w:p>
        </w:tc>
      </w:tr>
      <w:tr>
        <w:trPr>
          <w:tblHeader w:val="false"/>
        </w:trP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Semana 2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Sistematización en plantilla, scoring de valor/esfuerzo, construcción del mapa de calor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Matriz priorizada con cuadrantes</w:t>
            </w:r>
          </w:p>
        </w:tc>
      </w:tr>
      <w:tr>
        <w:trPr>
          <w:tblHeader w:val="false"/>
        </w:trP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Semana 3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Validación con sponsor y comité, ajuste de pesos por industria, recomendación de portafolio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Documento de salida firmado y aprobado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1"/>
              <w:left w:val="single" w:color="1F3A5F" w:sz="18"/>
              <w:bottom w:val="single" w:color="1F3A5F" w:sz="1"/>
              <w:right w:val="single" w:color="1F3A5F" w:sz="1"/>
            </w:tcBorders>
            <w:shd w:fill="F7F9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Por qué este módulo se vende solo después de aplicarse</w:t>
            </w:r>
          </w:p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Dos resultados son habituales. Primero: el cliente descubre oportunidades de alto valor que no había visto, en áreas que no eran las que originalmente planteaba. Segundo: el cliente identifica iniciativas que estaba a punto de financiar que el método descalifica por bajo valor o por brecha estructural de datos. Ambos resultados pagan el módulo varias veces.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A5F" w:sz="12" w:space="1"/>
        </w:pBdr>
        <w:spacing w:after="240" w:before="240"/>
      </w:pPr>
      <w:r>
        <w:rPr>
          <w:rFonts w:ascii="Arial" w:cs="Arial" w:eastAsia="Arial" w:hAnsi="Arial"/>
        </w:rPr>
        <w:t xml:space="preserve"> </w:t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Fin del Módulo 2</w:t>
      </w:r>
    </w:p>
    <w:sectPr>
      <w:headerReference w:type="default" r:id="rId11"/>
      <w:footerReference w:type="default" r:id="rId12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</w:pPr>
    <w:r>
      <w:rPr>
        <w:rFonts w:ascii="Arial" w:cs="Arial" w:eastAsia="Arial" w:hAnsi="Arial"/>
        <w:color w:val="6B7280"/>
        <w:sz w:val="18"/>
        <w:szCs w:val="18"/>
      </w:rPr>
      <w:t xml:space="preserve">Documento metodológico · v1.0</w:t>
    </w:r>
    <w:r>
      <w:rPr>
        <w:rFonts w:ascii="Arial" w:cs="Arial" w:eastAsia="Arial" w:hAnsi="Arial"/>
        <w:color w:val="6B7280"/>
        <w:sz w:val="18"/>
        <w:szCs w:val="18"/>
      </w:rPr>
      <w:t xml:space="preserve">	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de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4" w:space="4"/>
      </w:pBdr>
      <w:tabs>
        <w:tab w:val="right" w:pos="9360"/>
      </w:tabs>
      <w:spacing w:after="0"/>
    </w:pPr>
    <w:r>
      <w:rPr>
        <w:rFonts w:ascii="Arial" w:cs="Arial" w:eastAsia="Arial" w:hAnsi="Arial"/>
        <w:color w:val="6B7280"/>
        <w:sz w:val="18"/>
        <w:szCs w:val="18"/>
      </w:rPr>
      <w:t xml:space="preserve">Metodología de Implementación de IA  |  Módulo 2</w:t>
    </w: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	Diagnóstico y mapa de oportunidades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yperlink">
    <w:name w:val="Hyperlink"/>
    <w:basedOn w:val="Normal"/>
    <w:rPr>
      <w:color w:val="2E75B6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2026-05-01T11:06:31.670Z</dcterms:created>
  <dcterms:modified xsi:type="dcterms:W3CDTF">2026-05-01T11:06:31.671Z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