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rPr>
        <w:t xml:space="preserve"/>
      </w:r>
    </w:p>
    <w:p>
      <w:pPr>
        <w:spacing w:after="240" w:before="0"/>
        <w:jc w:val="left"/>
      </w:pPr>
      <w:r>
        <w:rPr>
          <w:rFonts w:ascii="Arial" w:cs="Arial" w:eastAsia="Arial" w:hAnsi="Arial"/>
          <w:b/>
          <w:bCs/>
          <w:color w:val="2E75B6"/>
          <w:spacing w:val="60"/>
          <w:sz w:val="22"/>
          <w:szCs w:val="22"/>
        </w:rPr>
        <w:t xml:space="preserve">METODOLOGÍA DE IMPLEMENTACIÓN DE IA PARA EMPRESAS</w:t>
      </w:r>
    </w:p>
    <w:p>
      <w:pPr>
        <w:spacing w:after="120" w:before="0"/>
        <w:jc w:val="left"/>
      </w:pPr>
      <w:r>
        <w:rPr>
          <w:rFonts w:ascii="Arial" w:cs="Arial" w:eastAsia="Arial" w:hAnsi="Arial"/>
          <w:b/>
          <w:bCs/>
          <w:color w:val="6B7280"/>
          <w:sz w:val="28"/>
          <w:szCs w:val="28"/>
        </w:rPr>
        <w:t xml:space="preserve">Módulo 3</w:t>
      </w:r>
    </w:p>
    <w:p>
      <w:pPr>
        <w:spacing w:after="0" w:before="0"/>
        <w:jc w:val="left"/>
      </w:pPr>
      <w:r>
        <w:rPr>
          <w:rFonts w:ascii="Arial" w:cs="Arial" w:eastAsia="Arial" w:hAnsi="Arial"/>
          <w:b/>
          <w:bCs/>
          <w:color w:val="1F3A5F"/>
          <w:sz w:val="72"/>
          <w:szCs w:val="72"/>
        </w:rPr>
        <w:t xml:space="preserve">Portafolio</w:t>
      </w:r>
    </w:p>
    <w:p>
      <w:pPr>
        <w:spacing w:after="80" w:before="0"/>
        <w:jc w:val="left"/>
      </w:pPr>
      <w:r>
        <w:rPr>
          <w:rFonts w:ascii="Arial" w:cs="Arial" w:eastAsia="Arial" w:hAnsi="Arial"/>
          <w:b/>
          <w:bCs/>
          <w:color w:val="1F3A5F"/>
          <w:sz w:val="72"/>
          <w:szCs w:val="72"/>
        </w:rPr>
        <w:t xml:space="preserve">de innovación</w:t>
      </w:r>
    </w:p>
    <w:p>
      <w:pPr>
        <w:spacing w:after="480" w:before="80" w:line="360"/>
        <w:jc w:val="left"/>
      </w:pPr>
      <w:r>
        <w:rPr>
          <w:rFonts w:ascii="Arial" w:cs="Arial" w:eastAsia="Arial" w:hAnsi="Arial"/>
          <w:i/>
          <w:iCs/>
          <w:color w:val="2D2D2D"/>
          <w:sz w:val="28"/>
          <w:szCs w:val="28"/>
        </w:rPr>
        <w:t xml:space="preserve">De candidatos a un portafolio gestionado: cómo se prioriza, gobierna y mide la inversión en IA.</w:t>
      </w:r>
    </w:p>
    <w:p>
      <w:pPr>
        <w:pBdr>
          <w:bottom w:val="single" w:color="1F3A5F" w:sz="12" w:space="1"/>
        </w:pBdr>
        <w:spacing w:after="240" w:before="120"/>
      </w:pPr>
      <w:r>
        <w:rPr>
          <w:rFonts w:ascii="Arial" w:cs="Arial" w:eastAsia="Arial" w:hAnsi="Arial"/>
        </w:rPr>
        <w:t xml:space="preserve"> </w:t>
      </w:r>
    </w:p>
    <w:p>
      <w:pPr>
        <w:spacing w:after="360" w:before="120" w:line="360"/>
      </w:pPr>
      <w:r>
        <w:rPr>
          <w:rFonts w:ascii="Arial" w:cs="Arial" w:eastAsia="Arial" w:hAnsi="Arial"/>
          <w:color w:val="2D2D2D"/>
          <w:sz w:val="24"/>
          <w:szCs w:val="24"/>
        </w:rPr>
        <w:t xml:space="preserve">Documento técnico operativo orientado a CIO, CTO y CDO. Define los principios, la arquitectura del portafolio en dos horizontes, el sistema de priorización, la gobernanza y las métricas que separan un portafolio de IA gestionado de un conjunto de pilotos sueltos.</w:t>
      </w:r>
    </w:p>
    <w:p>
      <w:pPr>
        <w:spacing w:after="0" w:before="10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AUDIENCIA</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ALCANCE</w:t>
            </w:r>
          </w:p>
        </w:tc>
        <w:tc>
          <w:tcPr>
            <w:tcW w:type="dxa" w:w="31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INSTRUMENTOS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CIO · CTO · CDO</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Gobernanza, priorización, métricas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3 plantillas + tablero</w:t>
            </w:r>
          </w:p>
        </w:tc>
      </w:tr>
    </w:tbl>
    <w:p>
      <w:pPr>
        <w:spacing w:after="0" w:before="240"/>
      </w:pPr>
      <w:r>
        <w:rPr>
          <w:rFonts w:ascii="Arial" w:cs="Arial" w:eastAsia="Arial" w:hAnsi="Arial"/>
        </w:rPr>
        <w:t xml:space="preserve"/>
      </w:r>
    </w:p>
    <w:p>
      <w:pPr>
        <w:spacing w:after="0" w:before="60"/>
        <w:jc w:val="left"/>
      </w:pPr>
      <w:r>
        <w:rPr>
          <w:rFonts w:ascii="Arial" w:cs="Arial" w:eastAsia="Arial" w:hAnsi="Arial"/>
          <w:color w:val="6B7280"/>
          <w:sz w:val="18"/>
          <w:szCs w:val="18"/>
        </w:rPr>
        <w:t xml:space="preserve">Versión 1.0  |  Documento técnico operativo</w:t>
      </w:r>
    </w:p>
    <w:p>
      <w:pPr>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pPr>
    </w:p>
    <w:p>
      <w:pPr>
        <w:spacing w:after="40" w:before="60"/>
      </w:pPr>
      <w:r>
        <w:rPr>
          <w:rFonts w:ascii="Arial" w:cs="Arial" w:eastAsia="Arial" w:hAnsi="Arial"/>
          <w:b/>
          <w:bCs/>
          <w:color w:val="2E75B6"/>
          <w:spacing w:val="40"/>
          <w:sz w:val="18"/>
          <w:szCs w:val="18"/>
        </w:rPr>
        <w:t xml:space="preserve">RESUMEN EJECUTIVO</w:t>
      </w:r>
    </w:p>
    <w:p>
      <w:pPr>
        <w:pStyle w:val="Heading1"/>
        <w:spacing w:after="240" w:before="0"/>
      </w:pPr>
      <w:r>
        <w:rPr>
          <w:rFonts w:ascii="Arial" w:cs="Arial" w:eastAsia="Arial" w:hAnsi="Arial"/>
          <w:b/>
          <w:bCs/>
          <w:color w:val="1F3A5F"/>
          <w:sz w:val="36"/>
          <w:szCs w:val="36"/>
        </w:rPr>
        <w:t xml:space="preserve">De candidatos a portafolio gestionado</w:t>
      </w:r>
    </w:p>
    <w:p>
      <w:pPr>
        <w:spacing w:after="180" w:before="120" w:line="320"/>
      </w:pPr>
      <w:r>
        <w:rPr>
          <w:rFonts w:ascii="Arial" w:cs="Arial" w:eastAsia="Arial" w:hAnsi="Arial"/>
          <w:color w:val="2D2D2D"/>
          <w:sz w:val="24"/>
          <w:szCs w:val="24"/>
        </w:rPr>
        <w:t xml:space="preserve">El Módulo 2 produce candidatos. El Módulo 3 los convierte en un portafolio gestionado: priorizado, secuenciado, financiado, gobernado y medido. La diferencia entre una organización con portafolio y una con pilotos sueltos no es de tamaño; es de método.</w:t>
      </w:r>
    </w:p>
    <w:p>
      <w:pPr>
        <w:pStyle w:val="Heading2"/>
        <w:spacing w:after="160" w:before="320"/>
      </w:pPr>
      <w:r>
        <w:rPr>
          <w:rFonts w:ascii="Arial" w:cs="Arial" w:eastAsia="Arial" w:hAnsi="Arial"/>
          <w:b/>
          <w:bCs/>
          <w:color w:val="1F3A5F"/>
          <w:sz w:val="28"/>
          <w:szCs w:val="28"/>
        </w:rPr>
        <w:t xml:space="preserve">Lo que entrega este módulo</w:t>
      </w:r>
    </w:p>
    <w:p>
      <w:pPr>
        <w:pStyle w:val="ListParagraph"/>
        <w:numPr>
          <w:ilvl w:val="0"/>
          <w:numId w:val="2"/>
        </w:numPr>
        <w:spacing w:after="80" w:before="40" w:line="280"/>
      </w:pPr>
      <w:r>
        <w:rPr>
          <w:rFonts w:ascii="Arial" w:cs="Arial" w:eastAsia="Arial" w:hAnsi="Arial"/>
          <w:color w:val="2D2D2D"/>
          <w:sz w:val="22"/>
          <w:szCs w:val="22"/>
        </w:rPr>
        <w:t xml:space="preserve">Arquitectura de portafolio en dos horizontes (Quick Wins y Transformacionales) con balance recomendado.</w:t>
      </w:r>
    </w:p>
    <w:p>
      <w:pPr>
        <w:pStyle w:val="ListParagraph"/>
        <w:numPr>
          <w:ilvl w:val="0"/>
          <w:numId w:val="2"/>
        </w:numPr>
        <w:spacing w:after="80" w:before="40" w:line="280"/>
      </w:pPr>
      <w:r>
        <w:rPr>
          <w:rFonts w:ascii="Arial" w:cs="Arial" w:eastAsia="Arial" w:hAnsi="Arial"/>
          <w:color w:val="2D2D2D"/>
          <w:sz w:val="22"/>
          <w:szCs w:val="22"/>
        </w:rPr>
        <w:t xml:space="preserve">Sistema de priorización que toma la salida del Módulo 2 y añade criterios de portafolio (capacidades, dependencias, concentración de riesgo).</w:t>
      </w:r>
    </w:p>
    <w:p>
      <w:pPr>
        <w:pStyle w:val="ListParagraph"/>
        <w:numPr>
          <w:ilvl w:val="0"/>
          <w:numId w:val="2"/>
        </w:numPr>
        <w:spacing w:after="80" w:before="40" w:line="280"/>
      </w:pPr>
      <w:r>
        <w:rPr>
          <w:rFonts w:ascii="Arial" w:cs="Arial" w:eastAsia="Arial" w:hAnsi="Arial"/>
          <w:color w:val="2D2D2D"/>
          <w:sz w:val="22"/>
          <w:szCs w:val="22"/>
        </w:rPr>
        <w:t xml:space="preserve">Modelo de gobernanza con un único Comité de IA: composición, ritmo, decisiones, agenda tipo.</w:t>
      </w:r>
    </w:p>
    <w:p>
      <w:pPr>
        <w:pStyle w:val="ListParagraph"/>
        <w:numPr>
          <w:ilvl w:val="0"/>
          <w:numId w:val="2"/>
        </w:numPr>
        <w:spacing w:after="80" w:before="40" w:line="280"/>
      </w:pPr>
      <w:r>
        <w:rPr>
          <w:rFonts w:ascii="Arial" w:cs="Arial" w:eastAsia="Arial" w:hAnsi="Arial"/>
          <w:color w:val="2D2D2D"/>
          <w:sz w:val="22"/>
          <w:szCs w:val="22"/>
        </w:rPr>
        <w:t xml:space="preserve">Tablero ejecutivo de portafolio con 12 métricas en tres categorías (salud, valor, riesgo).</w:t>
      </w:r>
    </w:p>
    <w:p>
      <w:pPr>
        <w:pStyle w:val="ListParagraph"/>
        <w:numPr>
          <w:ilvl w:val="0"/>
          <w:numId w:val="2"/>
        </w:numPr>
        <w:spacing w:after="80" w:before="40" w:line="280"/>
      </w:pPr>
      <w:r>
        <w:rPr>
          <w:rFonts w:ascii="Arial" w:cs="Arial" w:eastAsia="Arial" w:hAnsi="Arial"/>
          <w:color w:val="2D2D2D"/>
          <w:sz w:val="22"/>
          <w:szCs w:val="22"/>
        </w:rPr>
        <w:t xml:space="preserve">Tres plantillas operativas: project charter, business case ejecutivo y dashboard de portafolio.</w:t>
      </w:r>
    </w:p>
    <w:p>
      <w:pPr>
        <w:pStyle w:val="ListParagraph"/>
        <w:numPr>
          <w:ilvl w:val="0"/>
          <w:numId w:val="2"/>
        </w:numPr>
        <w:spacing w:after="80" w:before="40" w:line="280"/>
      </w:pPr>
      <w:r>
        <w:rPr>
          <w:rFonts w:ascii="Arial" w:cs="Arial" w:eastAsia="Arial" w:hAnsi="Arial"/>
          <w:color w:val="2D2D2D"/>
          <w:sz w:val="22"/>
          <w:szCs w:val="22"/>
        </w:rPr>
        <w:t xml:space="preserve">Principios de financiamiento que no prescriben modelo, pero acotan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w:spacing w:after="80" w:before="0"/>
            </w:pPr>
            <w:r>
              <w:rPr>
                <w:rFonts w:ascii="Arial" w:cs="Arial" w:eastAsia="Arial" w:hAnsi="Arial"/>
                <w:b/>
                <w:bCs/>
                <w:color w:val="1F3A5F"/>
                <w:sz w:val="22"/>
                <w:szCs w:val="22"/>
              </w:rPr>
              <w:t xml:space="preserve">El principio rector</w:t>
            </w:r>
          </w:p>
          <w:p>
            <w:pPr>
              <w:spacing w:after="0" w:before="0" w:line="280"/>
            </w:pPr>
            <w:r>
              <w:rPr>
                <w:rFonts w:ascii="Arial" w:cs="Arial" w:eastAsia="Arial" w:hAnsi="Arial"/>
                <w:color w:val="2D2D2D"/>
                <w:sz w:val="22"/>
                <w:szCs w:val="22"/>
              </w:rPr>
              <w:t xml:space="preserve">Un portafolio de IA bien gestionado no maximiza el número de iniciativas; maximiza el valor entregado por cada peso invertido en función del nivel de riesgo aceptable. La disciplina de matar y de no iniciar es tan importante como la de seleccionar.</w:t>
            </w:r>
          </w:p>
        </w:tc>
      </w:tr>
    </w:tbl>
    <w:p>
      <w:pPr>
        <w:pStyle w:val="Heading1"/>
        <w:pageBreakBefore/>
        <w:spacing w:after="240" w:before="480"/>
      </w:pPr>
      <w:r>
        <w:rPr>
          <w:rFonts w:ascii="Arial" w:cs="Arial" w:eastAsia="Arial" w:hAnsi="Arial"/>
          <w:b/>
          <w:bCs/>
          <w:color w:val="1F3A5F"/>
          <w:sz w:val="36"/>
          <w:szCs w:val="36"/>
        </w:rPr>
        <w:t xml:space="preserve">1. Principios rectores del portafolio</w:t>
      </w:r>
    </w:p>
    <w:p>
      <w:pPr>
        <w:spacing w:after="180" w:before="120" w:line="320"/>
      </w:pPr>
      <w:r>
        <w:rPr>
          <w:rFonts w:ascii="Arial" w:cs="Arial" w:eastAsia="Arial" w:hAnsi="Arial"/>
          <w:color w:val="2D2D2D"/>
          <w:sz w:val="24"/>
          <w:szCs w:val="24"/>
        </w:rPr>
        <w:t xml:space="preserve">Estos seis principios anteceden la mecánica del portafolio. Cuando una decisión operativa entra en conflicto con un principio, el principio prevalece.</w:t>
      </w:r>
    </w:p>
    <w:p>
      <w:pPr>
        <w:pStyle w:val="Heading2"/>
        <w:spacing w:after="160" w:before="320"/>
      </w:pPr>
      <w:r>
        <w:rPr>
          <w:rFonts w:ascii="Arial" w:cs="Arial" w:eastAsia="Arial" w:hAnsi="Arial"/>
          <w:b/>
          <w:bCs/>
          <w:color w:val="1F3A5F"/>
          <w:sz w:val="28"/>
          <w:szCs w:val="28"/>
        </w:rPr>
        <w:t xml:space="preserve">1.1  Concentración intencional</w:t>
      </w:r>
    </w:p>
    <w:p>
      <w:pPr>
        <w:spacing w:after="120" w:before="60" w:line="300"/>
      </w:pPr>
      <w:r>
        <w:rPr>
          <w:rFonts w:ascii="Arial" w:cs="Arial" w:eastAsia="Arial" w:hAnsi="Arial"/>
          <w:color w:val="2D2D2D"/>
          <w:sz w:val="22"/>
          <w:szCs w:val="22"/>
        </w:rPr>
        <w:t xml:space="preserve">Un portafolio que abre demasiados frentes no avanza en ninguno. La regla práctica: el número de iniciativas activas en cualquier momento no debe exceder la capacidad operativa real del equipo central + las áreas funcionales. Más concentración produce más resultado que más cobertura.</w:t>
      </w:r>
    </w:p>
    <w:p>
      <w:pPr>
        <w:pStyle w:val="Heading2"/>
        <w:spacing w:after="160" w:before="320"/>
      </w:pPr>
      <w:r>
        <w:rPr>
          <w:rFonts w:ascii="Arial" w:cs="Arial" w:eastAsia="Arial" w:hAnsi="Arial"/>
          <w:b/>
          <w:bCs/>
          <w:color w:val="1F3A5F"/>
          <w:sz w:val="28"/>
          <w:szCs w:val="28"/>
        </w:rPr>
        <w:t xml:space="preserve">1.2  Reversibilidad de la asignación</w:t>
      </w:r>
    </w:p>
    <w:p>
      <w:pPr>
        <w:spacing w:after="120" w:before="60" w:line="300"/>
      </w:pPr>
      <w:r>
        <w:rPr>
          <w:rFonts w:ascii="Arial" w:cs="Arial" w:eastAsia="Arial" w:hAnsi="Arial"/>
          <w:color w:val="2D2D2D"/>
          <w:sz w:val="22"/>
          <w:szCs w:val="22"/>
        </w:rPr>
        <w:t xml:space="preserve">Cada peso invertido debe poder reasignarse si la iniciativa no avanza. Eso obliga a financiamiento por etapas, gates duros y cultura de apagar iniciativas que no rinden. El portafolio se gestiona como un conjunto de apuestas, no como un conjunto de promesas.</w:t>
      </w:r>
    </w:p>
    <w:p>
      <w:pPr>
        <w:pStyle w:val="Heading2"/>
        <w:spacing w:after="160" w:before="320"/>
      </w:pPr>
      <w:r>
        <w:rPr>
          <w:rFonts w:ascii="Arial" w:cs="Arial" w:eastAsia="Arial" w:hAnsi="Arial"/>
          <w:b/>
          <w:bCs/>
          <w:color w:val="1F3A5F"/>
          <w:sz w:val="28"/>
          <w:szCs w:val="28"/>
        </w:rPr>
        <w:t xml:space="preserve">1.3  Diversificación deliberada</w:t>
      </w:r>
    </w:p>
    <w:p>
      <w:pPr>
        <w:spacing w:after="120" w:before="60" w:line="300"/>
      </w:pPr>
      <w:r>
        <w:rPr>
          <w:rFonts w:ascii="Arial" w:cs="Arial" w:eastAsia="Arial" w:hAnsi="Arial"/>
          <w:color w:val="2D2D2D"/>
          <w:sz w:val="22"/>
          <w:szCs w:val="22"/>
        </w:rPr>
        <w:t xml:space="preserve">Concentrar todo el portafolio en una familia de IA, una área o un horizonte produce dependencias peligrosas. La diversificación no es accidental: se decide con criterios de cobertura por familia tecnológica, por área impactada, por horizonte temporal y por nivel de riesgo.</w:t>
      </w:r>
    </w:p>
    <w:p>
      <w:pPr>
        <w:pStyle w:val="Heading2"/>
        <w:spacing w:after="160" w:before="320"/>
      </w:pPr>
      <w:r>
        <w:rPr>
          <w:rFonts w:ascii="Arial" w:cs="Arial" w:eastAsia="Arial" w:hAnsi="Arial"/>
          <w:b/>
          <w:bCs/>
          <w:color w:val="1F3A5F"/>
          <w:sz w:val="28"/>
          <w:szCs w:val="28"/>
        </w:rPr>
        <w:t xml:space="preserve">1.4  Capacidades antes que casos en H2</w:t>
      </w:r>
    </w:p>
    <w:p>
      <w:pPr>
        <w:spacing w:after="120" w:before="60" w:line="300"/>
      </w:pPr>
      <w:r>
        <w:rPr>
          <w:rFonts w:ascii="Arial" w:cs="Arial" w:eastAsia="Arial" w:hAnsi="Arial"/>
          <w:color w:val="2D2D2D"/>
          <w:sz w:val="22"/>
          <w:szCs w:val="22"/>
        </w:rPr>
        <w:t xml:space="preserve">Las iniciativas transformacionales (Horizonte 2) requieren capacidades que el primer horizonte ayuda a construir: datos, talento, gobernanza, plataforma. Forzar transformación sin haber construido capacidad es la receta probada del fracaso ambicioso.</w:t>
      </w:r>
    </w:p>
    <w:p>
      <w:pPr>
        <w:pStyle w:val="Heading2"/>
        <w:spacing w:after="160" w:before="320"/>
      </w:pPr>
      <w:r>
        <w:rPr>
          <w:rFonts w:ascii="Arial" w:cs="Arial" w:eastAsia="Arial" w:hAnsi="Arial"/>
          <w:b/>
          <w:bCs/>
          <w:color w:val="1F3A5F"/>
          <w:sz w:val="28"/>
          <w:szCs w:val="28"/>
        </w:rPr>
        <w:t xml:space="preserve">1.5  Decisiones documentadas</w:t>
      </w:r>
    </w:p>
    <w:p>
      <w:pPr>
        <w:spacing w:after="120" w:before="60" w:line="300"/>
      </w:pPr>
      <w:r>
        <w:rPr>
          <w:rFonts w:ascii="Arial" w:cs="Arial" w:eastAsia="Arial" w:hAnsi="Arial"/>
          <w:color w:val="2D2D2D"/>
          <w:sz w:val="22"/>
          <w:szCs w:val="22"/>
        </w:rPr>
        <w:t xml:space="preserve">Cada decisión del portafolio (iniciar, pausar, escalar, matar, reasignar) deja trazabilidad: criterio aplicado, evidencia considerada, responsable. Bajo regímenes regulatorios crecientes, la trazabilidad de la decisión es exigible. Sin documentación, no hay auditoría posible.</w:t>
      </w:r>
    </w:p>
    <w:p>
      <w:pPr>
        <w:pStyle w:val="Heading2"/>
        <w:spacing w:after="160" w:before="320"/>
      </w:pPr>
      <w:r>
        <w:rPr>
          <w:rFonts w:ascii="Arial" w:cs="Arial" w:eastAsia="Arial" w:hAnsi="Arial"/>
          <w:b/>
          <w:bCs/>
          <w:color w:val="1F3A5F"/>
          <w:sz w:val="28"/>
          <w:szCs w:val="28"/>
        </w:rPr>
        <w:t xml:space="preserve">1.6  Salud antes que velocidad</w:t>
      </w:r>
    </w:p>
    <w:p>
      <w:pPr>
        <w:spacing w:after="120" w:before="60" w:line="300"/>
      </w:pPr>
      <w:r>
        <w:rPr>
          <w:rFonts w:ascii="Arial" w:cs="Arial" w:eastAsia="Arial" w:hAnsi="Arial"/>
          <w:color w:val="2D2D2D"/>
          <w:sz w:val="22"/>
          <w:szCs w:val="22"/>
        </w:rPr>
        <w:t xml:space="preserve">Un portafolio que avanza rápido pero acumula deuda técnica, drift no monitoreado y modelos sin gobernanza es un portafolio enfermo que va a colapsar. La medición continua de salud es tan importante como la de valor.</w:t>
      </w:r>
    </w:p>
    <w:p>
      <w:pPr>
        <w:pStyle w:val="Heading1"/>
        <w:pageBreakBefore/>
        <w:spacing w:after="240" w:before="480"/>
      </w:pPr>
      <w:r>
        <w:rPr>
          <w:rFonts w:ascii="Arial" w:cs="Arial" w:eastAsia="Arial" w:hAnsi="Arial"/>
          <w:b/>
          <w:bCs/>
          <w:color w:val="1F3A5F"/>
          <w:sz w:val="36"/>
          <w:szCs w:val="36"/>
        </w:rPr>
        <w:t xml:space="preserve">2. Arquitectura del portafolio: dos horizontes</w:t>
      </w:r>
    </w:p>
    <w:p>
      <w:pPr>
        <w:spacing w:after="180" w:before="120" w:line="320"/>
      </w:pPr>
      <w:r>
        <w:rPr>
          <w:rFonts w:ascii="Arial" w:cs="Arial" w:eastAsia="Arial" w:hAnsi="Arial"/>
          <w:color w:val="2D2D2D"/>
          <w:sz w:val="24"/>
          <w:szCs w:val="24"/>
        </w:rPr>
        <w:t xml:space="preserve">El portafolio se organiza en dos horizontes con propósito y disciplina diferenciados. Mezclar horizontes en una misma evaluación es el error más común; cada horizonte se compara consigo mismo, no con el otro.</w:t>
      </w:r>
    </w:p>
    <w:p>
      <w:pPr>
        <w:pStyle w:val="Heading2"/>
        <w:spacing w:after="160" w:before="320"/>
      </w:pPr>
      <w:r>
        <w:rPr>
          <w:rFonts w:ascii="Arial" w:cs="Arial" w:eastAsia="Arial" w:hAnsi="Arial"/>
          <w:b/>
          <w:bCs/>
          <w:color w:val="1F3A5F"/>
          <w:sz w:val="28"/>
          <w:szCs w:val="28"/>
        </w:rPr>
        <w:t xml:space="preserve">2.1  Horizonte 1 — Quick Wins</w:t>
      </w:r>
    </w:p>
    <w:p>
      <w:pPr>
        <w:spacing w:after="120" w:before="60" w:line="300"/>
      </w:pPr>
      <w:r>
        <w:rPr>
          <w:rFonts w:ascii="Arial" w:cs="Arial" w:eastAsia="Arial" w:hAnsi="Arial"/>
          <w:color w:val="2D2D2D"/>
          <w:sz w:val="22"/>
          <w:szCs w:val="22"/>
        </w:rPr>
        <w:t xml:space="preserve">Iniciativas de bajo riesgo, alto valor concreto y horizonte corto. Su propósito principal no es solo entregar valor, sino construir tracción organizacional, validar el método y financiar la curva de aprendizaje. Un portafolio sin Quick Wins pierde el respaldo político del comité ejecutivo en el primer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Atributo</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Característica esperada en H1</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Horizonte temporal</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0 — 9 meses desde decisión hasta valor en producción.</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Tipo de problema</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Bien definido, con datos disponibles, baja incertidumbre técnica y de adopción.</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Familia de IA típica</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Reglas / RPA, ML clásico maduro, GenAI con RAG sobre dominio acotado.</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Inversión típica</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Baja-media. Modelo financiero predecible, sin sobresaltos.</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Patrón de adopción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Un área, alcance acotado. Pruebas A/B disponibles. Adopción medible en semanas.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Indicador primario</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ROI medible a 12-18 meses, con relación costo/valor probada.</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Riesgo principal</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Subestimar complejidad de adopción. Tratarlo como solo técnico.</w:t>
            </w:r>
          </w:p>
        </w:tc>
      </w:tr>
    </w:tbl>
    <w:p>
      <w:pPr>
        <w:pStyle w:val="Heading2"/>
        <w:spacing w:after="160" w:before="320"/>
      </w:pPr>
      <w:r>
        <w:rPr>
          <w:rFonts w:ascii="Arial" w:cs="Arial" w:eastAsia="Arial" w:hAnsi="Arial"/>
          <w:b/>
          <w:bCs/>
          <w:color w:val="1F3A5F"/>
          <w:sz w:val="28"/>
          <w:szCs w:val="28"/>
        </w:rPr>
        <w:t xml:space="preserve">2.2  Horizonte 2 — Transformacionales</w:t>
      </w:r>
    </w:p>
    <w:p>
      <w:pPr>
        <w:spacing w:after="120" w:before="60" w:line="300"/>
      </w:pPr>
      <w:r>
        <w:rPr>
          <w:rFonts w:ascii="Arial" w:cs="Arial" w:eastAsia="Arial" w:hAnsi="Arial"/>
          <w:color w:val="2D2D2D"/>
          <w:sz w:val="22"/>
          <w:szCs w:val="22"/>
        </w:rPr>
        <w:t xml:space="preserve">Iniciativas que reconfiguran un proceso, una capacidad o un modelo de negocio. Mayor incertidumbre, mayor potencial. Requieren disciplina de descubrimiento extendido, presupuesto stage-gated y supervisión ejecutiva continua. El comité debe estar dispuesto a apagar la iniciativa en cualquier gate si la evidencia no acompaña.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Atributo</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Característica esperada en H2</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Horizonte temporal</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12 — 30 meses desde decisión hasta valor sostenido en producción.</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Tipo de problema</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Mal definido inicialmente. Requiere descubrimiento iterativo. Alta incertidumbre.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Familia de IA típica</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Combinaciones híbridas. Agentes, GenAI fine-tuned, ML con datos propios diferenciadores.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Inversión típica</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Alta. Modelo financiero stage-gated obligatorio.</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Patrón de adopción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Cambio organizacional significativo. Carril paralelo de adopción imprescindible (Módulo 6B).</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Indicador primario</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Movimiento de un indicador estratégico (no solo financiero). Ventaja competitiva durable.</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Riesgo principal</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Sobreingeniería, parálisis por análisis, captura por moda tecnológica.</w:t>
            </w:r>
          </w:p>
        </w:tc>
      </w:tr>
    </w:tbl>
    <w:p>
      <w:pPr>
        <w:pStyle w:val="Heading2"/>
        <w:spacing w:after="160" w:before="320"/>
      </w:pPr>
      <w:r>
        <w:rPr>
          <w:rFonts w:ascii="Arial" w:cs="Arial" w:eastAsia="Arial" w:hAnsi="Arial"/>
          <w:b/>
          <w:bCs/>
          <w:color w:val="1F3A5F"/>
          <w:sz w:val="28"/>
          <w:szCs w:val="28"/>
        </w:rPr>
        <w:t xml:space="preserve">2.3  Balance recomendado</w:t>
      </w:r>
    </w:p>
    <w:p>
      <w:pPr>
        <w:spacing w:after="120" w:before="60" w:line="300"/>
      </w:pPr>
      <w:r>
        <w:rPr>
          <w:rFonts w:ascii="Arial" w:cs="Arial" w:eastAsia="Arial" w:hAnsi="Arial"/>
          <w:color w:val="2D2D2D"/>
          <w:sz w:val="22"/>
          <w:szCs w:val="22"/>
        </w:rPr>
        <w:t xml:space="preserve">La distribución del portafolio depende del momento de madurez del cliente, pero las proporciones siguientes funcionan como punto de partida defensible.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Madurez del cliente</w:t>
            </w:r>
          </w:p>
        </w:tc>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 Quick Wins</w:t>
            </w:r>
          </w:p>
        </w:tc>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 Transformacionales</w:t>
            </w:r>
          </w:p>
        </w:tc>
        <w:tc>
          <w:tcPr>
            <w:tcW w:type="dxa" w:w="23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Foco recomendado</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Inicial (1-2 en M1)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2E7D32"/>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Construir tracción y capacidad</w:t>
            </w:r>
          </w:p>
        </w:tc>
      </w:tr>
      <w:tr>
        <w:trPr>
          <w:tblHeader w:val="false"/>
        </w:trPr>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Intermedia (3 en M1)</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60%</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2E7D32"/>
                <w:sz w:val="20"/>
                <w:szCs w:val="20"/>
              </w:rPr>
              <w:t xml:space="preserve">40%</w:t>
            </w:r>
          </w:p>
        </w:tc>
        <w:tc>
          <w:tcPr>
            <w:tcW w:type="dxa" w:w="23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Equilibrio. Empezar a apostar selectivamente</w:t>
            </w:r>
          </w:p>
        </w:tc>
      </w:tr>
      <w:tr>
        <w:trPr>
          <w:tblHeader w:val="false"/>
        </w:trP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Madura (4-5 en M1)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40%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b/>
                <w:bCs/>
                <w:color w:val="2E7D32"/>
                <w:sz w:val="20"/>
                <w:szCs w:val="20"/>
              </w:rPr>
              <w:t xml:space="preserve">60%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Diferenciación competitiva</w:t>
            </w:r>
          </w:p>
        </w:tc>
      </w:tr>
    </w:tbl>
    <w:p>
      <w:pPr>
        <w:spacing w:after="0" w:before="200"/>
      </w:pPr>
      <w:r>
        <w:rPr>
          <w:rFonts w:ascii="Arial" w:cs="Arial" w:eastAsia="Arial" w:hAnsi="Arial"/>
        </w:rPr>
        <w:t xml:space="preserve"/>
      </w:r>
    </w:p>
    <w:p>
      <w:pPr>
        <w:pStyle w:val="Heading3"/>
        <w:spacing w:after="100" w:before="200"/>
      </w:pPr>
      <w:r>
        <w:rPr>
          <w:rFonts w:ascii="Arial" w:cs="Arial" w:eastAsia="Arial" w:hAnsi="Arial"/>
          <w:b/>
          <w:bCs/>
          <w:color w:val="2E75B6"/>
          <w:sz w:val="24"/>
          <w:szCs w:val="24"/>
        </w:rPr>
        <w:t xml:space="preserve">Reglas de balance</w:t>
      </w:r>
    </w:p>
    <w:p>
      <w:pPr>
        <w:pStyle w:val="ListParagraph"/>
        <w:numPr>
          <w:ilvl w:val="0"/>
          <w:numId w:val="2"/>
        </w:numPr>
        <w:spacing w:after="80" w:before="40" w:line="280"/>
      </w:pPr>
      <w:r>
        <w:rPr>
          <w:rFonts w:ascii="Arial" w:cs="Arial" w:eastAsia="Arial" w:hAnsi="Arial"/>
          <w:color w:val="2D2D2D"/>
          <w:sz w:val="22"/>
          <w:szCs w:val="22"/>
        </w:rPr>
        <w:t xml:space="preserve">Nunca llevar más de 3 iniciativas H2 simultáneas hasta que la primera haya cerrado al menos un gate de escalamiento exitoso.</w:t>
      </w:r>
    </w:p>
    <w:p>
      <w:pPr>
        <w:pStyle w:val="ListParagraph"/>
        <w:numPr>
          <w:ilvl w:val="0"/>
          <w:numId w:val="2"/>
        </w:numPr>
        <w:spacing w:after="80" w:before="40" w:line="280"/>
      </w:pPr>
      <w:r>
        <w:rPr>
          <w:rFonts w:ascii="Arial" w:cs="Arial" w:eastAsia="Arial" w:hAnsi="Arial"/>
          <w:color w:val="2D2D2D"/>
          <w:sz w:val="22"/>
          <w:szCs w:val="22"/>
        </w:rPr>
        <w:t xml:space="preserve">Si en un trimestre todos los Quick Wins van bien y todas las H2 están en zona ámbar o roja, evaluar mover capacidad de QW hacia H2.</w:t>
      </w:r>
    </w:p>
    <w:p>
      <w:pPr>
        <w:pStyle w:val="ListParagraph"/>
        <w:numPr>
          <w:ilvl w:val="0"/>
          <w:numId w:val="2"/>
        </w:numPr>
        <w:spacing w:after="80" w:before="40" w:line="280"/>
      </w:pPr>
      <w:r>
        <w:rPr>
          <w:rFonts w:ascii="Arial" w:cs="Arial" w:eastAsia="Arial" w:hAnsi="Arial"/>
          <w:color w:val="2D2D2D"/>
          <w:sz w:val="22"/>
          <w:szCs w:val="22"/>
        </w:rPr>
        <w:t xml:space="preserve">Si en un trimestre las H2 consumen más del 70% del tiempo del comité, hay sobrepeso operativo: simplificar el portafolio.</w:t>
      </w:r>
    </w:p>
    <w:p>
      <w:pPr>
        <w:pStyle w:val="Heading1"/>
        <w:pageBreakBefore/>
        <w:spacing w:after="240" w:before="480"/>
      </w:pPr>
      <w:r>
        <w:rPr>
          <w:rFonts w:ascii="Arial" w:cs="Arial" w:eastAsia="Arial" w:hAnsi="Arial"/>
          <w:b/>
          <w:bCs/>
          <w:color w:val="1F3A5F"/>
          <w:sz w:val="36"/>
          <w:szCs w:val="36"/>
        </w:rPr>
        <w:t xml:space="preserve">3. Sistema de priorización del portafolio</w:t>
      </w:r>
    </w:p>
    <w:p>
      <w:pPr>
        <w:spacing w:after="180" w:before="120" w:line="320"/>
      </w:pPr>
      <w:r>
        <w:rPr>
          <w:rFonts w:ascii="Arial" w:cs="Arial" w:eastAsia="Arial" w:hAnsi="Arial"/>
          <w:color w:val="2D2D2D"/>
          <w:sz w:val="24"/>
          <w:szCs w:val="24"/>
        </w:rPr>
        <w:t xml:space="preserve">La priorización del portafolio toma como insumo la matriz valor/esfuerzo del Módulo 2 y la enriquece con tres criterios adicionales que solo aparecen al mirar el conjunto.</w:t>
      </w:r>
    </w:p>
    <w:p>
      <w:pPr>
        <w:pStyle w:val="Heading2"/>
        <w:spacing w:after="160" w:before="320"/>
      </w:pPr>
      <w:r>
        <w:rPr>
          <w:rFonts w:ascii="Arial" w:cs="Arial" w:eastAsia="Arial" w:hAnsi="Arial"/>
          <w:b/>
          <w:bCs/>
          <w:color w:val="1F3A5F"/>
          <w:sz w:val="28"/>
          <w:szCs w:val="28"/>
        </w:rPr>
        <w:t xml:space="preserve">3.1  Los tres criterios adicionales del portafolio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Criterio</w:t>
            </w:r>
          </w:p>
        </w:tc>
        <w:tc>
          <w:tcPr>
            <w:tcW w:type="dxa" w:w="64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Qué pondera</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Encadenamiento de capacidades</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Iniciativas que construyen capacidades reutilizables (datos, plataforma, modelos base, talento) suben en prioridad. Una iniciativa con valor medio que habilita tres iniciativas futuras vale más que una iniciativa con valor alto y aislada.</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Concentración de riesgo agregado</w:t>
            </w:r>
          </w:p>
        </w:tc>
        <w:tc>
          <w:tcPr>
            <w:tcW w:type="dxa" w:w="64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Si tres iniciativas seleccionadas dependen del mismo dato, la misma área o el mismo proveedor, la concentración baja la prioridad de la última que entra al portafolio. Diversificar por familia, área y dependencia es decisión, no accidente.</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Madurez de adopción del área propietaria</w:t>
            </w:r>
          </w:p>
        </w:tc>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Una iniciativa con score de valor alto en un área de IA-readiness ≤ 2.4 (ver Módulo 2) se descalifica o se pospone. La iniciativa puede ser brillante; el resultado, no.</w:t>
            </w:r>
          </w:p>
        </w:tc>
      </w:tr>
    </w:tbl>
    <w:p>
      <w:pPr>
        <w:pStyle w:val="Heading2"/>
        <w:spacing w:after="160" w:before="320"/>
      </w:pPr>
      <w:r>
        <w:rPr>
          <w:rFonts w:ascii="Arial" w:cs="Arial" w:eastAsia="Arial" w:hAnsi="Arial"/>
          <w:b/>
          <w:bCs/>
          <w:color w:val="1F3A5F"/>
          <w:sz w:val="28"/>
          <w:szCs w:val="28"/>
        </w:rPr>
        <w:t xml:space="preserve">3.2  El proceso de priorización en cinco pasos</w:t>
      </w:r>
    </w:p>
    <w:p>
      <w:pPr>
        <w:pStyle w:val="ListParagraph"/>
        <w:numPr>
          <w:ilvl w:val="0"/>
          <w:numId w:val="2"/>
        </w:numPr>
        <w:spacing w:after="80" w:before="40" w:line="280"/>
      </w:pPr>
      <w:r>
        <w:rPr>
          <w:rFonts w:ascii="Arial" w:cs="Arial" w:eastAsia="Arial" w:hAnsi="Arial"/>
          <w:b/>
          <w:bCs/>
        </w:rPr>
        <w:t xml:space="preserve">1. Importar candidatos del Módulo 2: </w:t>
      </w:r>
      <w:r>
        <w:rPr>
          <w:rFonts w:ascii="Arial" w:cs="Arial" w:eastAsia="Arial" w:hAnsi="Arial"/>
          <w:color w:val="2D2D2D"/>
          <w:sz w:val="22"/>
          <w:szCs w:val="22"/>
        </w:rPr>
        <w:t xml:space="preserve">scoring de valor (V) y esfuerzo (E) ya calculados.</w:t>
      </w:r>
    </w:p>
    <w:p>
      <w:pPr>
        <w:pStyle w:val="ListParagraph"/>
        <w:numPr>
          <w:ilvl w:val="0"/>
          <w:numId w:val="2"/>
        </w:numPr>
        <w:spacing w:after="80" w:before="40" w:line="280"/>
      </w:pPr>
      <w:r>
        <w:rPr>
          <w:rFonts w:ascii="Arial" w:cs="Arial" w:eastAsia="Arial" w:hAnsi="Arial"/>
          <w:b/>
          <w:bCs/>
        </w:rPr>
        <w:t xml:space="preserve">2. Aplicar bonificación por encadenamiento: </w:t>
      </w:r>
      <w:r>
        <w:rPr>
          <w:rFonts w:ascii="Arial" w:cs="Arial" w:eastAsia="Arial" w:hAnsi="Arial"/>
          <w:color w:val="2D2D2D"/>
          <w:sz w:val="22"/>
          <w:szCs w:val="22"/>
        </w:rPr>
        <w:t xml:space="preserve">+10 al score de valor por cada capacidad reutilizable que la iniciativa habilita (máximo +20).</w:t>
      </w:r>
    </w:p>
    <w:p>
      <w:pPr>
        <w:pStyle w:val="ListParagraph"/>
        <w:numPr>
          <w:ilvl w:val="0"/>
          <w:numId w:val="2"/>
        </w:numPr>
        <w:spacing w:after="80" w:before="40" w:line="280"/>
      </w:pPr>
      <w:r>
        <w:rPr>
          <w:rFonts w:ascii="Arial" w:cs="Arial" w:eastAsia="Arial" w:hAnsi="Arial"/>
          <w:b/>
          <w:bCs/>
        </w:rPr>
        <w:t xml:space="preserve">3. Aplicar penalización por concentración: </w:t>
      </w:r>
      <w:r>
        <w:rPr>
          <w:rFonts w:ascii="Arial" w:cs="Arial" w:eastAsia="Arial" w:hAnsi="Arial"/>
          <w:color w:val="2D2D2D"/>
          <w:sz w:val="22"/>
          <w:szCs w:val="22"/>
        </w:rPr>
        <w:t xml:space="preserve">-5 al score de valor por cada nueva iniciativa que dependa del mismo recurso crítico (máximo -15).</w:t>
      </w:r>
    </w:p>
    <w:p>
      <w:pPr>
        <w:pStyle w:val="ListParagraph"/>
        <w:numPr>
          <w:ilvl w:val="0"/>
          <w:numId w:val="2"/>
        </w:numPr>
        <w:spacing w:after="80" w:before="40" w:line="280"/>
      </w:pPr>
      <w:r>
        <w:rPr>
          <w:rFonts w:ascii="Arial" w:cs="Arial" w:eastAsia="Arial" w:hAnsi="Arial"/>
          <w:b/>
          <w:bCs/>
        </w:rPr>
        <w:t xml:space="preserve">4. Filtro de readiness del área: </w:t>
      </w:r>
      <w:r>
        <w:rPr>
          <w:rFonts w:ascii="Arial" w:cs="Arial" w:eastAsia="Arial" w:hAnsi="Arial"/>
          <w:color w:val="2D2D2D"/>
          <w:sz w:val="22"/>
          <w:szCs w:val="22"/>
        </w:rPr>
        <w:t xml:space="preserve">descartar candidatas con readiness ≤ 2.4 hasta cerrar brecha.</w:t>
      </w:r>
    </w:p>
    <w:p>
      <w:pPr>
        <w:pStyle w:val="ListParagraph"/>
        <w:numPr>
          <w:ilvl w:val="0"/>
          <w:numId w:val="2"/>
        </w:numPr>
        <w:spacing w:after="80" w:before="40" w:line="280"/>
      </w:pPr>
      <w:r>
        <w:rPr>
          <w:rFonts w:ascii="Arial" w:cs="Arial" w:eastAsia="Arial" w:hAnsi="Arial"/>
          <w:b/>
          <w:bCs/>
        </w:rPr>
        <w:t xml:space="preserve">5. Asignación a horizonte: </w:t>
      </w:r>
      <w:r>
        <w:rPr>
          <w:rFonts w:ascii="Arial" w:cs="Arial" w:eastAsia="Arial" w:hAnsi="Arial"/>
          <w:color w:val="2D2D2D"/>
          <w:sz w:val="22"/>
          <w:szCs w:val="22"/>
        </w:rPr>
        <w:t xml:space="preserve">según naturaleza del problema, no según preferencia. Mezclar horizontes según las proporciones de la sección 2.3.</w:t>
      </w:r>
    </w:p>
    <w:p>
      <w:pPr>
        <w:pStyle w:val="Heading2"/>
        <w:spacing w:after="160" w:before="320"/>
      </w:pPr>
      <w:r>
        <w:rPr>
          <w:rFonts w:ascii="Arial" w:cs="Arial" w:eastAsia="Arial" w:hAnsi="Arial"/>
          <w:b/>
          <w:bCs/>
          <w:color w:val="1F3A5F"/>
          <w:sz w:val="28"/>
          <w:szCs w:val="28"/>
        </w:rPr>
        <w:t xml:space="preserve">3.3  Reglas de selección final</w:t>
      </w:r>
    </w:p>
    <w:p>
      <w:pPr>
        <w:pStyle w:val="ListParagraph"/>
        <w:numPr>
          <w:ilvl w:val="0"/>
          <w:numId w:val="2"/>
        </w:numPr>
        <w:spacing w:after="80" w:before="40" w:line="280"/>
      </w:pPr>
      <w:r>
        <w:rPr>
          <w:rFonts w:ascii="Arial" w:cs="Arial" w:eastAsia="Arial" w:hAnsi="Arial"/>
          <w:b/>
          <w:bCs/>
        </w:rPr>
        <w:t xml:space="preserve">Tope superior: </w:t>
      </w:r>
      <w:r>
        <w:rPr>
          <w:rFonts w:ascii="Arial" w:cs="Arial" w:eastAsia="Arial" w:hAnsi="Arial"/>
          <w:color w:val="2D2D2D"/>
          <w:sz w:val="22"/>
          <w:szCs w:val="22"/>
        </w:rPr>
        <w:t xml:space="preserve">nunca más iniciativas activas que capacidad operativa real (PMO + áreas + capacidades centrales).</w:t>
      </w:r>
    </w:p>
    <w:p>
      <w:pPr>
        <w:pStyle w:val="ListParagraph"/>
        <w:numPr>
          <w:ilvl w:val="0"/>
          <w:numId w:val="2"/>
        </w:numPr>
        <w:spacing w:after="80" w:before="40" w:line="280"/>
      </w:pPr>
      <w:r>
        <w:rPr>
          <w:rFonts w:ascii="Arial" w:cs="Arial" w:eastAsia="Arial" w:hAnsi="Arial"/>
          <w:b/>
          <w:bCs/>
        </w:rPr>
        <w:t xml:space="preserve">Mezcla obligatoria: </w:t>
      </w:r>
      <w:r>
        <w:rPr>
          <w:rFonts w:ascii="Arial" w:cs="Arial" w:eastAsia="Arial" w:hAnsi="Arial"/>
          <w:color w:val="2D2D2D"/>
          <w:sz w:val="22"/>
          <w:szCs w:val="22"/>
        </w:rPr>
        <w:t xml:space="preserve">al menos un Quick Win por trimestre asegura cadencia visible al comité ejecutivo.</w:t>
      </w:r>
    </w:p>
    <w:p>
      <w:pPr>
        <w:pStyle w:val="ListParagraph"/>
        <w:numPr>
          <w:ilvl w:val="0"/>
          <w:numId w:val="2"/>
        </w:numPr>
        <w:spacing w:after="80" w:before="40" w:line="280"/>
      </w:pPr>
      <w:r>
        <w:rPr>
          <w:rFonts w:ascii="Arial" w:cs="Arial" w:eastAsia="Arial" w:hAnsi="Arial"/>
          <w:b/>
          <w:bCs/>
        </w:rPr>
        <w:t xml:space="preserve">Independencia de áreas: </w:t>
      </w:r>
      <w:r>
        <w:rPr>
          <w:rFonts w:ascii="Arial" w:cs="Arial" w:eastAsia="Arial" w:hAnsi="Arial"/>
          <w:color w:val="2D2D2D"/>
          <w:sz w:val="22"/>
          <w:szCs w:val="22"/>
        </w:rPr>
        <w:t xml:space="preserve">evitar que más del 50% del portafolio dependa de la misma área propietaria.</w:t>
      </w:r>
    </w:p>
    <w:p>
      <w:pPr>
        <w:pStyle w:val="ListParagraph"/>
        <w:numPr>
          <w:ilvl w:val="0"/>
          <w:numId w:val="2"/>
        </w:numPr>
        <w:spacing w:after="80" w:before="40" w:line="280"/>
      </w:pPr>
      <w:r>
        <w:rPr>
          <w:rFonts w:ascii="Arial" w:cs="Arial" w:eastAsia="Arial" w:hAnsi="Arial"/>
          <w:b/>
          <w:bCs/>
        </w:rPr>
        <w:t xml:space="preserve">Diversificación por familia: </w:t>
      </w:r>
      <w:r>
        <w:rPr>
          <w:rFonts w:ascii="Arial" w:cs="Arial" w:eastAsia="Arial" w:hAnsi="Arial"/>
          <w:color w:val="2D2D2D"/>
          <w:sz w:val="22"/>
          <w:szCs w:val="22"/>
        </w:rPr>
        <w:t xml:space="preserve">máximo 60% del portafolio concentrado en una familia (Reglas, ML clásico o GenAI/Agentes).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F7F9FB" w:val="clear"/>
            <w:tcMar>
              <w:top w:type="dxa" w:w="160"/>
              <w:left w:type="dxa" w:w="200"/>
              <w:bottom w:type="dxa" w:w="160"/>
              <w:right w:type="dxa" w:w="200"/>
            </w:tcMar>
          </w:tcPr>
          <w:p>
            <w:pPr>
              <w:spacing w:after="80" w:before="0"/>
            </w:pPr>
            <w:r>
              <w:rPr>
                <w:rFonts w:ascii="Arial" w:cs="Arial" w:eastAsia="Arial" w:hAnsi="Arial"/>
                <w:b/>
                <w:bCs/>
                <w:color w:val="2E75B6"/>
                <w:sz w:val="22"/>
                <w:szCs w:val="22"/>
              </w:rPr>
              <w:t xml:space="preserve">Por qué importan los criterios de portafolio</w:t>
            </w:r>
          </w:p>
          <w:p>
            <w:pPr>
              <w:spacing w:after="0" w:before="0" w:line="280"/>
            </w:pPr>
            <w:r>
              <w:rPr>
                <w:rFonts w:ascii="Arial" w:cs="Arial" w:eastAsia="Arial" w:hAnsi="Arial"/>
                <w:color w:val="2D2D2D"/>
                <w:sz w:val="22"/>
                <w:szCs w:val="22"/>
              </w:rPr>
              <w:t xml:space="preserve">Un set de iniciativas brillantes puede ser un mal portafolio: si todas dependen de los mismos datos, del mismo equipo o de la misma capacidad técnica, una falla las daña a todas en cascada. La priorización a nivel portafolio cuida lo que la priorización individual no puede ver.</w:t>
            </w:r>
          </w:p>
        </w:tc>
      </w:tr>
    </w:tbl>
    <w:p>
      <w:pPr>
        <w:pStyle w:val="Heading1"/>
        <w:pageBreakBefore/>
        <w:spacing w:after="240" w:before="480"/>
      </w:pPr>
      <w:r>
        <w:rPr>
          <w:rFonts w:ascii="Arial" w:cs="Arial" w:eastAsia="Arial" w:hAnsi="Arial"/>
          <w:b/>
          <w:bCs/>
          <w:color w:val="1F3A5F"/>
          <w:sz w:val="36"/>
          <w:szCs w:val="36"/>
        </w:rPr>
        <w:t xml:space="preserve">4. Gobernanza: el Comité de IA</w:t>
      </w:r>
    </w:p>
    <w:p>
      <w:pPr>
        <w:spacing w:after="180" w:before="120" w:line="320"/>
      </w:pPr>
      <w:r>
        <w:rPr>
          <w:rFonts w:ascii="Arial" w:cs="Arial" w:eastAsia="Arial" w:hAnsi="Arial"/>
          <w:color w:val="2D2D2D"/>
          <w:sz w:val="24"/>
          <w:szCs w:val="24"/>
        </w:rPr>
        <w:t xml:space="preserve">Una sola instancia formal de gobernanza unificada es suficiente para la mayoría de organizaciones. Crear más comités multiplica costo y diluye autoridad. El Comité de IA toma todas las decisiones del portafolio que no pueden delegarse al PMO o a los líderes de iniciativa.</w:t>
      </w:r>
    </w:p>
    <w:p>
      <w:pPr>
        <w:pStyle w:val="Heading2"/>
        <w:spacing w:after="160" w:before="320"/>
      </w:pPr>
      <w:r>
        <w:rPr>
          <w:rFonts w:ascii="Arial" w:cs="Arial" w:eastAsia="Arial" w:hAnsi="Arial"/>
          <w:b/>
          <w:bCs/>
          <w:color w:val="1F3A5F"/>
          <w:sz w:val="28"/>
          <w:szCs w:val="28"/>
        </w:rPr>
        <w:t xml:space="preserve">4.1  Composición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Rol</w:t>
            </w:r>
          </w:p>
        </w:tc>
        <w:tc>
          <w:tcPr>
            <w:tcW w:type="dxa" w:w="32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Responsabilidad principal</w:t>
            </w:r>
          </w:p>
        </w:tc>
        <w:tc>
          <w:tcPr>
            <w:tcW w:type="dxa" w:w="32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Frecuencia de participación</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Sponsor ejecutivo de IA</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Autoridad final sobre presupuesto y prioridades. Cobertura política.</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Permanente</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CIO / CTO</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Coherencia tecnológica, plataforma, integración con TI.</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Permanente</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CDO / Líder de datos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Calidad, disponibilidad, gobierno de datos.</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Permanente</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Chief AI Officer / Líder de IA</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Operación del portafolio, ejecución metodológica, estado de iniciativas.</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Permanente</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Riesgo / Legal / Compliance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Riesgos regulatorios, legales y reputacionales del portafolio.</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Permanente</w:t>
            </w:r>
          </w:p>
        </w:tc>
      </w:tr>
      <w:tr>
        <w:trPr>
          <w:tblHeader w:val="false"/>
        </w:trPr>
        <w:tc>
          <w:tcPr>
            <w:tcW w:type="dxa" w:w="288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Líderes de áreas con iniciativas activas</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Visibilidad sobre sus iniciativas, decisión de gates de su iniciativa.</w:t>
            </w:r>
          </w:p>
        </w:tc>
        <w:tc>
          <w:tcPr>
            <w:tcW w:type="dxa" w:w="32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Por convocatoria</w:t>
            </w:r>
          </w:p>
        </w:tc>
      </w:tr>
      <w:tr>
        <w:trPr>
          <w:tblHeader w:val="false"/>
        </w:trPr>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Auditoría / Seguridad</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Validación de controles. Visión independiente.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Trimestral</w:t>
            </w:r>
          </w:p>
        </w:tc>
      </w:tr>
    </w:tbl>
    <w:p>
      <w:pPr>
        <w:pStyle w:val="Heading2"/>
        <w:spacing w:after="160" w:before="320"/>
      </w:pPr>
      <w:r>
        <w:rPr>
          <w:rFonts w:ascii="Arial" w:cs="Arial" w:eastAsia="Arial" w:hAnsi="Arial"/>
          <w:b/>
          <w:bCs/>
          <w:color w:val="1F3A5F"/>
          <w:sz w:val="28"/>
          <w:szCs w:val="28"/>
        </w:rPr>
        <w:t xml:space="preserve">4.2  Decisiones que toma el comité</w:t>
      </w:r>
    </w:p>
    <w:p>
      <w:pPr>
        <w:pStyle w:val="ListParagraph"/>
        <w:numPr>
          <w:ilvl w:val="0"/>
          <w:numId w:val="2"/>
        </w:numPr>
        <w:spacing w:after="80" w:before="40" w:line="280"/>
      </w:pPr>
      <w:r>
        <w:rPr>
          <w:rFonts w:ascii="Arial" w:cs="Arial" w:eastAsia="Arial" w:hAnsi="Arial"/>
          <w:color w:val="2D2D2D"/>
          <w:sz w:val="22"/>
          <w:szCs w:val="22"/>
        </w:rPr>
        <w:t xml:space="preserve">Aprobación o rechazo de candidatos al portafolio (ingreso).</w:t>
      </w:r>
    </w:p>
    <w:p>
      <w:pPr>
        <w:pStyle w:val="ListParagraph"/>
        <w:numPr>
          <w:ilvl w:val="0"/>
          <w:numId w:val="2"/>
        </w:numPr>
        <w:spacing w:after="80" w:before="40" w:line="280"/>
      </w:pPr>
      <w:r>
        <w:rPr>
          <w:rFonts w:ascii="Arial" w:cs="Arial" w:eastAsia="Arial" w:hAnsi="Arial"/>
          <w:color w:val="2D2D2D"/>
          <w:sz w:val="22"/>
          <w:szCs w:val="22"/>
        </w:rPr>
        <w:t xml:space="preserve">Aprobación de gates de iniciativa (paso a PoC, piloto, escalamiento, operación).</w:t>
      </w:r>
    </w:p>
    <w:p>
      <w:pPr>
        <w:pStyle w:val="ListParagraph"/>
        <w:numPr>
          <w:ilvl w:val="0"/>
          <w:numId w:val="2"/>
        </w:numPr>
        <w:spacing w:after="80" w:before="40" w:line="280"/>
      </w:pPr>
      <w:r>
        <w:rPr>
          <w:rFonts w:ascii="Arial" w:cs="Arial" w:eastAsia="Arial" w:hAnsi="Arial"/>
          <w:color w:val="2D2D2D"/>
          <w:sz w:val="22"/>
          <w:szCs w:val="22"/>
        </w:rPr>
        <w:t xml:space="preserve">Reasignación de presupuesto entre iniciativas o entre horizontes.</w:t>
      </w:r>
    </w:p>
    <w:p>
      <w:pPr>
        <w:pStyle w:val="ListParagraph"/>
        <w:numPr>
          <w:ilvl w:val="0"/>
          <w:numId w:val="2"/>
        </w:numPr>
        <w:spacing w:after="80" w:before="40" w:line="280"/>
      </w:pPr>
      <w:r>
        <w:rPr>
          <w:rFonts w:ascii="Arial" w:cs="Arial" w:eastAsia="Arial" w:hAnsi="Arial"/>
          <w:color w:val="2D2D2D"/>
          <w:sz w:val="22"/>
          <w:szCs w:val="22"/>
        </w:rPr>
        <w:t xml:space="preserve">Decisión de aborto, pausa o reinicio de iniciativas.</w:t>
      </w:r>
    </w:p>
    <w:p>
      <w:pPr>
        <w:pStyle w:val="ListParagraph"/>
        <w:numPr>
          <w:ilvl w:val="0"/>
          <w:numId w:val="2"/>
        </w:numPr>
        <w:spacing w:after="80" w:before="40" w:line="280"/>
      </w:pPr>
      <w:r>
        <w:rPr>
          <w:rFonts w:ascii="Arial" w:cs="Arial" w:eastAsia="Arial" w:hAnsi="Arial"/>
          <w:color w:val="2D2D2D"/>
          <w:sz w:val="22"/>
          <w:szCs w:val="22"/>
        </w:rPr>
        <w:t xml:space="preserve">Aprobación de excepciones a políticas de gobernanza (uso de datos sensibles, modelos no estándar, vendor crítico).</w:t>
      </w:r>
    </w:p>
    <w:p>
      <w:pPr>
        <w:pStyle w:val="ListParagraph"/>
        <w:numPr>
          <w:ilvl w:val="0"/>
          <w:numId w:val="2"/>
        </w:numPr>
        <w:spacing w:after="80" w:before="40" w:line="280"/>
      </w:pPr>
      <w:r>
        <w:rPr>
          <w:rFonts w:ascii="Arial" w:cs="Arial" w:eastAsia="Arial" w:hAnsi="Arial"/>
          <w:color w:val="2D2D2D"/>
          <w:sz w:val="22"/>
          <w:szCs w:val="22"/>
        </w:rPr>
        <w:t xml:space="preserve">Revisión anual del modelo operativo del portafolio y del propio comité.</w:t>
      </w:r>
    </w:p>
    <w:p>
      <w:pPr>
        <w:pStyle w:val="Heading2"/>
        <w:spacing w:after="160" w:before="320"/>
      </w:pPr>
      <w:r>
        <w:rPr>
          <w:rFonts w:ascii="Arial" w:cs="Arial" w:eastAsia="Arial" w:hAnsi="Arial"/>
          <w:b/>
          <w:bCs/>
          <w:color w:val="1F3A5F"/>
          <w:sz w:val="28"/>
          <w:szCs w:val="28"/>
        </w:rPr>
        <w:t xml:space="preserve">4.3  Ritmo y agenda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Frecuencia</w:t>
            </w:r>
          </w:p>
        </w:tc>
        <w:tc>
          <w:tcPr>
            <w:tcW w:type="dxa" w:w="216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Duración</w:t>
            </w:r>
          </w:p>
        </w:tc>
        <w:tc>
          <w:tcPr>
            <w:tcW w:type="dxa" w:w="50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Foco de la sesión</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Mensual ordinaria</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90-120 min</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Salud del portafolio, decisiones de gate, riesgos emergentes.</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Trimestral estratégica</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Medio día</w:t>
            </w:r>
          </w:p>
        </w:tc>
        <w:tc>
          <w:tcPr>
            <w:tcW w:type="dxa" w:w="5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Revisión profunda del portafolio: balance, valor capturado, ajuste de prioridades.</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Anual de planeación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Día completo</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Cierre del año, definición del portafolio del año siguiente, evolución del modelo operativo.</w:t>
            </w:r>
          </w:p>
        </w:tc>
      </w:tr>
      <w:tr>
        <w:trPr>
          <w:tblHeader w:val="false"/>
        </w:trPr>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Extraordinaria</w:t>
            </w:r>
          </w:p>
        </w:tc>
        <w:tc>
          <w:tcPr>
            <w:tcW w:type="dxa" w:w="216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center"/>
            </w:pPr>
            <w:r>
              <w:rPr>
                <w:rFonts w:ascii="Arial" w:cs="Arial" w:eastAsia="Arial" w:hAnsi="Arial"/>
                <w:color w:val="2D2D2D"/>
                <w:sz w:val="20"/>
                <w:szCs w:val="20"/>
              </w:rPr>
              <w:t xml:space="preserve">60 min</w:t>
            </w:r>
          </w:p>
        </w:tc>
        <w:tc>
          <w:tcPr>
            <w:tcW w:type="dxa" w:w="50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Decisiones fuera de ciclo (incidentes, oportunidad inesperada).</w:t>
            </w:r>
          </w:p>
        </w:tc>
      </w:tr>
    </w:tbl>
    <w:p>
      <w:pPr>
        <w:spacing w:after="0" w:before="200"/>
      </w:pPr>
      <w:r>
        <w:rPr>
          <w:rFonts w:ascii="Arial" w:cs="Arial" w:eastAsia="Arial" w:hAnsi="Arial"/>
        </w:rPr>
        <w:t xml:space="preserve"/>
      </w:r>
    </w:p>
    <w:p>
      <w:pPr>
        <w:pStyle w:val="Heading3"/>
        <w:spacing w:after="100" w:before="200"/>
      </w:pPr>
      <w:r>
        <w:rPr>
          <w:rFonts w:ascii="Arial" w:cs="Arial" w:eastAsia="Arial" w:hAnsi="Arial"/>
          <w:b/>
          <w:bCs/>
          <w:color w:val="2E75B6"/>
          <w:sz w:val="24"/>
          <w:szCs w:val="24"/>
        </w:rPr>
        <w:t xml:space="preserve">Agenda mensual estándar (90 min)</w:t>
      </w:r>
    </w:p>
    <w:p>
      <w:pPr>
        <w:pStyle w:val="ListParagraph"/>
        <w:numPr>
          <w:ilvl w:val="0"/>
          <w:numId w:val="2"/>
        </w:numPr>
        <w:spacing w:after="80" w:before="40" w:line="280"/>
      </w:pPr>
      <w:r>
        <w:rPr>
          <w:rFonts w:ascii="Arial" w:cs="Arial" w:eastAsia="Arial" w:hAnsi="Arial"/>
          <w:color w:val="2D2D2D"/>
          <w:sz w:val="22"/>
          <w:szCs w:val="22"/>
        </w:rPr>
        <w:t xml:space="preserve">Estado del portafolio (15 min): tablero ejecutivo, semáforos, alertas.</w:t>
      </w:r>
    </w:p>
    <w:p>
      <w:pPr>
        <w:pStyle w:val="ListParagraph"/>
        <w:numPr>
          <w:ilvl w:val="0"/>
          <w:numId w:val="2"/>
        </w:numPr>
        <w:spacing w:after="80" w:before="40" w:line="280"/>
      </w:pPr>
      <w:r>
        <w:rPr>
          <w:rFonts w:ascii="Arial" w:cs="Arial" w:eastAsia="Arial" w:hAnsi="Arial"/>
          <w:color w:val="2D2D2D"/>
          <w:sz w:val="22"/>
          <w:szCs w:val="22"/>
        </w:rPr>
        <w:t xml:space="preserve">Decisiones de gate (30 min): cada iniciativa que pide paso presenta evidencia + recomendación.</w:t>
      </w:r>
    </w:p>
    <w:p>
      <w:pPr>
        <w:pStyle w:val="ListParagraph"/>
        <w:numPr>
          <w:ilvl w:val="0"/>
          <w:numId w:val="2"/>
        </w:numPr>
        <w:spacing w:after="80" w:before="40" w:line="280"/>
      </w:pPr>
      <w:r>
        <w:rPr>
          <w:rFonts w:ascii="Arial" w:cs="Arial" w:eastAsia="Arial" w:hAnsi="Arial"/>
          <w:color w:val="2D2D2D"/>
          <w:sz w:val="22"/>
          <w:szCs w:val="22"/>
        </w:rPr>
        <w:t xml:space="preserve">Riesgos emergentes (20 min): nuevos riesgos detectados, controles propuestos.</w:t>
      </w:r>
    </w:p>
    <w:p>
      <w:pPr>
        <w:pStyle w:val="ListParagraph"/>
        <w:numPr>
          <w:ilvl w:val="0"/>
          <w:numId w:val="2"/>
        </w:numPr>
        <w:spacing w:after="80" w:before="40" w:line="280"/>
      </w:pPr>
      <w:r>
        <w:rPr>
          <w:rFonts w:ascii="Arial" w:cs="Arial" w:eastAsia="Arial" w:hAnsi="Arial"/>
          <w:color w:val="2D2D2D"/>
          <w:sz w:val="22"/>
          <w:szCs w:val="22"/>
        </w:rPr>
        <w:t xml:space="preserve">Asuntos estratégicos (15 min): movimientos del mercado, regulación, oportunidades.</w:t>
      </w:r>
    </w:p>
    <w:p>
      <w:pPr>
        <w:pStyle w:val="ListParagraph"/>
        <w:numPr>
          <w:ilvl w:val="0"/>
          <w:numId w:val="2"/>
        </w:numPr>
        <w:spacing w:after="80" w:before="40" w:line="280"/>
      </w:pPr>
      <w:r>
        <w:rPr>
          <w:rFonts w:ascii="Arial" w:cs="Arial" w:eastAsia="Arial" w:hAnsi="Arial"/>
          <w:color w:val="2D2D2D"/>
          <w:sz w:val="22"/>
          <w:szCs w:val="22"/>
        </w:rPr>
        <w:t xml:space="preserve">Cierre y compromisos (10 min): registro de decisiones, próximos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1"/>
              <w:left w:val="single" w:color="B7791F" w:sz="18"/>
              <w:bottom w:val="single" w:color="B7791F" w:sz="1"/>
              <w:right w:val="single" w:color="B7791F" w:sz="1"/>
            </w:tcBorders>
            <w:shd w:fill="F7F9FB" w:val="clear"/>
            <w:tcMar>
              <w:top w:type="dxa" w:w="160"/>
              <w:left w:type="dxa" w:w="200"/>
              <w:bottom w:type="dxa" w:w="160"/>
              <w:right w:type="dxa" w:w="200"/>
            </w:tcMar>
          </w:tcPr>
          <w:p>
            <w:pPr>
              <w:spacing w:after="80" w:before="0"/>
            </w:pPr>
            <w:r>
              <w:rPr>
                <w:rFonts w:ascii="Arial" w:cs="Arial" w:eastAsia="Arial" w:hAnsi="Arial"/>
                <w:b/>
                <w:bCs/>
                <w:color w:val="B7791F"/>
                <w:sz w:val="22"/>
                <w:szCs w:val="22"/>
              </w:rPr>
              <w:t xml:space="preserve">El comité que se vuelve teatro</w:t>
            </w:r>
          </w:p>
          <w:p>
            <w:pPr>
              <w:spacing w:after="0" w:before="0" w:line="280"/>
            </w:pPr>
            <w:r>
              <w:rPr>
                <w:rFonts w:ascii="Arial" w:cs="Arial" w:eastAsia="Arial" w:hAnsi="Arial"/>
                <w:color w:val="2D2D2D"/>
                <w:sz w:val="22"/>
                <w:szCs w:val="22"/>
              </w:rPr>
              <w:t xml:space="preserve">El primer síntoma de un comité enfermo es que se vuelve sesión informativa. Si en una reunión no se toman decisiones, no debe celebrarse esa reunión. Las decisiones documentadas, no la asistencia, son la métrica de salud del comité.</w:t>
            </w:r>
          </w:p>
        </w:tc>
      </w:tr>
    </w:tbl>
    <w:p>
      <w:pPr>
        <w:pStyle w:val="Heading1"/>
        <w:pageBreakBefore/>
        <w:spacing w:after="240" w:before="480"/>
      </w:pPr>
      <w:r>
        <w:rPr>
          <w:rFonts w:ascii="Arial" w:cs="Arial" w:eastAsia="Arial" w:hAnsi="Arial"/>
          <w:b/>
          <w:bCs/>
          <w:color w:val="1F3A5F"/>
          <w:sz w:val="36"/>
          <w:szCs w:val="36"/>
        </w:rPr>
        <w:t xml:space="preserve">5. Tablero ejecutivo de métricas del portafolio</w:t>
      </w:r>
    </w:p>
    <w:p>
      <w:pPr>
        <w:spacing w:after="180" w:before="120" w:line="320"/>
      </w:pPr>
      <w:r>
        <w:rPr>
          <w:rFonts w:ascii="Arial" w:cs="Arial" w:eastAsia="Arial" w:hAnsi="Arial"/>
          <w:color w:val="2D2D2D"/>
          <w:sz w:val="24"/>
          <w:szCs w:val="24"/>
        </w:rPr>
        <w:t xml:space="preserve">Doce métricas en tres categorías cubren la salud, el valor y el riesgo del portafolio. Es el set mínimo defendible. Más métricas diluyen atención; menos dejan dimensiones críticas sin observar.</w:t>
      </w:r>
    </w:p>
    <w:p>
      <w:pPr>
        <w:pStyle w:val="Heading2"/>
        <w:spacing w:after="160" w:before="320"/>
      </w:pPr>
      <w:r>
        <w:rPr>
          <w:rFonts w:ascii="Arial" w:cs="Arial" w:eastAsia="Arial" w:hAnsi="Arial"/>
          <w:b/>
          <w:bCs/>
          <w:color w:val="1F3A5F"/>
          <w:sz w:val="28"/>
          <w:szCs w:val="28"/>
        </w:rPr>
        <w:t xml:space="preserve">5.1  Categoría A — Salud del portafolio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Métrica</w:t>
            </w:r>
          </w:p>
        </w:tc>
        <w:tc>
          <w:tcPr>
            <w:tcW w:type="dxa" w:w="4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Cómo se calcula</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Lectura</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A1. Tasa de paso de gates</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 de iniciativas que pasan cada gate dentro del tiempo objetivo, sobre el total que llega a ese gate.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&lt;50% indica problema metodológico o de selección</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A2. Tiempo descubrimiento → producción</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Mediana del tiempo desde G0 (inicio descubrimiento) hasta G4 (paso a operación) por iniciativa cerrada.</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Trayectoria importa más que el valor absoluto</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A3. Adherencia al ritmo del comité</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 de decisiones tomadas en la sesión programada vs. pospuestas o aplazadas.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&lt;80% sugiere comité disfuncional</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A4. Carga del PMO / equipo central</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Utilización del equipo PMO + capacidades centrales sobre capacidad teórica.</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&gt;90% sostenido = riesgo de quiebre. Reducir portafolio o ampliar capacidad</w:t>
            </w:r>
          </w:p>
        </w:tc>
      </w:tr>
    </w:tbl>
    <w:p>
      <w:pPr>
        <w:pStyle w:val="Heading2"/>
        <w:spacing w:after="160" w:before="320"/>
      </w:pPr>
      <w:r>
        <w:rPr>
          <w:rFonts w:ascii="Arial" w:cs="Arial" w:eastAsia="Arial" w:hAnsi="Arial"/>
          <w:b/>
          <w:bCs/>
          <w:color w:val="1F3A5F"/>
          <w:sz w:val="28"/>
          <w:szCs w:val="28"/>
        </w:rPr>
        <w:t xml:space="preserve">5.2  Categoría B — Valor entregado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Métrica</w:t>
            </w:r>
          </w:p>
        </w:tc>
        <w:tc>
          <w:tcPr>
            <w:tcW w:type="dxa" w:w="4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Cómo se calcula</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Lectura</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B1. Valor capturado vs. comprometido</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Suma del valor real entregado por iniciativas en operación, sobre el valor proyectado en sus business cases. Acumulado anual.</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&gt;80% es saludable. &lt;60% es alerta sobre realismo de business cases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B2. ROI promedio a 24 meses</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Promedio ponderado del ROI (valor capturado / inversión total) de las iniciativas cerradas.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Comparación contra el target del portafolio (típicamente 2-4x)</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B3. Adopción promedio (penetración)</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Promedio de la métrica de penetración (Módulo 6B) sobre las iniciativas en operación.</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&lt;60% sostenido indica problema sistémico de adopción</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B4. Iniciativas cerradas con valor probado</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Conteo y % de iniciativas que llegaron a operación y han demostrado captura de valor sostenida durante al menos 6 meses.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Métrica de "productos vivos" del portafolio</w:t>
            </w:r>
          </w:p>
        </w:tc>
      </w:tr>
    </w:tbl>
    <w:p>
      <w:pPr>
        <w:pStyle w:val="Heading2"/>
        <w:spacing w:after="160" w:before="320"/>
      </w:pPr>
      <w:r>
        <w:rPr>
          <w:rFonts w:ascii="Arial" w:cs="Arial" w:eastAsia="Arial" w:hAnsi="Arial"/>
          <w:b/>
          <w:bCs/>
          <w:color w:val="1F3A5F"/>
          <w:sz w:val="28"/>
          <w:szCs w:val="28"/>
        </w:rPr>
        <w:t xml:space="preserve">5.3  Categoría C — Riesgo del portafolio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Métrica</w:t>
            </w:r>
          </w:p>
        </w:tc>
        <w:tc>
          <w:tcPr>
            <w:tcW w:type="dxa" w:w="43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Cómo se calcula</w:t>
            </w:r>
          </w:p>
        </w:tc>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Lectura</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C1. Concentración por familia de IA</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 del portafolio (en inversión) en cada familia: Reglas, ML clásico, GenAI/Agentes.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Cualquier familia &gt;60% es señal de concentración peligrosa</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C2. Concentración por área propietaria</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 del portafolio (en inversión) en cada área funcional. Indicador tipo Herfindahl.</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Más del 50% en una sola área = portafolio frágil</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C3. Iniciativas con riesgo crítico activo</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Conteo de iniciativas con al menos un riesgo identificado en categoría "crítico" sin control validado.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Más de 2 iniciativas en este estado = priorizar mitigación sobre nuevo crecimiento</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C4. Cobertura regulatoria</w:t>
            </w:r>
          </w:p>
        </w:tc>
        <w:tc>
          <w:tcPr>
            <w:tcW w:type="dxa" w:w="43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 de iniciativas con DPIA completada (cuando aplica), model card actualizada, evaluación de fairness en sistemas que deciden sobre personas.</w:t>
            </w:r>
          </w:p>
        </w:tc>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&lt;90% en sectores regulados es deuda regulatoria peligrosa</w:t>
            </w:r>
          </w:p>
        </w:tc>
      </w:tr>
    </w:tbl>
    <w:p>
      <w:pPr>
        <w:pStyle w:val="Heading2"/>
        <w:spacing w:after="160" w:before="320"/>
      </w:pPr>
      <w:r>
        <w:rPr>
          <w:rFonts w:ascii="Arial" w:cs="Arial" w:eastAsia="Arial" w:hAnsi="Arial"/>
          <w:b/>
          <w:bCs/>
          <w:color w:val="1F3A5F"/>
          <w:sz w:val="28"/>
          <w:szCs w:val="28"/>
        </w:rPr>
        <w:t xml:space="preserve">5.4  Cómo se reporta el tablero</w:t>
      </w:r>
    </w:p>
    <w:p>
      <w:pPr>
        <w:pStyle w:val="ListParagraph"/>
        <w:numPr>
          <w:ilvl w:val="0"/>
          <w:numId w:val="2"/>
        </w:numPr>
        <w:spacing w:after="80" w:before="40" w:line="280"/>
      </w:pPr>
      <w:r>
        <w:rPr>
          <w:rFonts w:ascii="Arial" w:cs="Arial" w:eastAsia="Arial" w:hAnsi="Arial"/>
          <w:color w:val="2D2D2D"/>
          <w:sz w:val="22"/>
          <w:szCs w:val="22"/>
        </w:rPr>
        <w:t xml:space="preserve">Cada métrica tiene umbral verde, ámbar y rojo definidos al inicio del año por el comité.</w:t>
      </w:r>
    </w:p>
    <w:p>
      <w:pPr>
        <w:pStyle w:val="ListParagraph"/>
        <w:numPr>
          <w:ilvl w:val="0"/>
          <w:numId w:val="2"/>
        </w:numPr>
        <w:spacing w:after="80" w:before="40" w:line="280"/>
      </w:pPr>
      <w:r>
        <w:rPr>
          <w:rFonts w:ascii="Arial" w:cs="Arial" w:eastAsia="Arial" w:hAnsi="Arial"/>
          <w:color w:val="2D2D2D"/>
          <w:sz w:val="22"/>
          <w:szCs w:val="22"/>
        </w:rPr>
        <w:t xml:space="preserve">El tablero se publica antes de la reunión del comité, no se descubre en la reunión.</w:t>
      </w:r>
    </w:p>
    <w:p>
      <w:pPr>
        <w:pStyle w:val="ListParagraph"/>
        <w:numPr>
          <w:ilvl w:val="0"/>
          <w:numId w:val="2"/>
        </w:numPr>
        <w:spacing w:after="80" w:before="40" w:line="280"/>
      </w:pPr>
      <w:r>
        <w:rPr>
          <w:rFonts w:ascii="Arial" w:cs="Arial" w:eastAsia="Arial" w:hAnsi="Arial"/>
          <w:color w:val="2D2D2D"/>
          <w:sz w:val="22"/>
          <w:szCs w:val="22"/>
        </w:rPr>
        <w:t xml:space="preserve">Cada métrica en rojo arrastra una acción documentada en la siguiente reunión.</w:t>
      </w:r>
    </w:p>
    <w:p>
      <w:pPr>
        <w:pStyle w:val="ListParagraph"/>
        <w:numPr>
          <w:ilvl w:val="0"/>
          <w:numId w:val="2"/>
        </w:numPr>
        <w:spacing w:after="80" w:before="40" w:line="280"/>
      </w:pPr>
      <w:r>
        <w:rPr>
          <w:rFonts w:ascii="Arial" w:cs="Arial" w:eastAsia="Arial" w:hAnsi="Arial"/>
          <w:color w:val="2D2D2D"/>
          <w:sz w:val="22"/>
          <w:szCs w:val="22"/>
        </w:rPr>
        <w:t xml:space="preserve">Comparación trimestral con el período anterior; comparación anual con el cierre del año previo.</w:t>
      </w:r>
    </w:p>
    <w:p>
      <w:pPr>
        <w:pStyle w:val="Heading1"/>
        <w:pageBreakBefore/>
        <w:spacing w:after="240" w:before="480"/>
      </w:pPr>
      <w:r>
        <w:rPr>
          <w:rFonts w:ascii="Arial" w:cs="Arial" w:eastAsia="Arial" w:hAnsi="Arial"/>
          <w:b/>
          <w:bCs/>
          <w:color w:val="1F3A5F"/>
          <w:sz w:val="36"/>
          <w:szCs w:val="36"/>
        </w:rPr>
        <w:t xml:space="preserve">6. Principios de financiamiento</w:t>
      </w:r>
    </w:p>
    <w:p>
      <w:pPr>
        <w:spacing w:after="180" w:before="120" w:line="320"/>
      </w:pPr>
      <w:r>
        <w:rPr>
          <w:rFonts w:ascii="Arial" w:cs="Arial" w:eastAsia="Arial" w:hAnsi="Arial"/>
          <w:color w:val="2D2D2D"/>
          <w:sz w:val="24"/>
          <w:szCs w:val="24"/>
        </w:rPr>
        <w:t xml:space="preserve">El módulo no prescribe un modelo único de financiamiento. Cada organización debe elegir el suyo en función de su cultura financiera y de planeación. Pero los siete principios siguientes acotan la decisión y previenen los errores más frecuentes.</w:t>
      </w:r>
    </w:p>
    <w:p>
      <w:pPr>
        <w:pStyle w:val="ListParagraph"/>
        <w:numPr>
          <w:ilvl w:val="0"/>
          <w:numId w:val="2"/>
        </w:numPr>
        <w:spacing w:after="80" w:before="40" w:line="280"/>
      </w:pPr>
      <w:r>
        <w:rPr>
          <w:rFonts w:ascii="Arial" w:cs="Arial" w:eastAsia="Arial" w:hAnsi="Arial"/>
          <w:b/>
          <w:bCs/>
        </w:rPr>
        <w:t xml:space="preserve">1. Financiamiento por etapas, no por proyecto completo. </w:t>
      </w:r>
      <w:r>
        <w:rPr>
          <w:rFonts w:ascii="Arial" w:cs="Arial" w:eastAsia="Arial" w:hAnsi="Arial"/>
          <w:color w:val="2D2D2D"/>
          <w:sz w:val="22"/>
          <w:szCs w:val="22"/>
        </w:rPr>
        <w:t xml:space="preserve">Cada gate libera presupuesto solo para la etapa siguiente. Compromisos plurianuales sin gates son receta de gasto sin retorno.</w:t>
      </w:r>
    </w:p>
    <w:p>
      <w:pPr>
        <w:pStyle w:val="ListParagraph"/>
        <w:numPr>
          <w:ilvl w:val="0"/>
          <w:numId w:val="2"/>
        </w:numPr>
        <w:spacing w:after="80" w:before="40" w:line="280"/>
      </w:pPr>
      <w:r>
        <w:rPr>
          <w:rFonts w:ascii="Arial" w:cs="Arial" w:eastAsia="Arial" w:hAnsi="Arial"/>
          <w:b/>
          <w:bCs/>
        </w:rPr>
        <w:t xml:space="preserve">2. Reserva de portafolio para reasignación. </w:t>
      </w:r>
      <w:r>
        <w:rPr>
          <w:rFonts w:ascii="Arial" w:cs="Arial" w:eastAsia="Arial" w:hAnsi="Arial"/>
          <w:color w:val="2D2D2D"/>
          <w:sz w:val="22"/>
          <w:szCs w:val="22"/>
        </w:rPr>
        <w:t xml:space="preserve">Al menos 15% del presupuesto anual del portafolio debe quedar como reserva sin asignación al inicio del año, para mover capacidad a iniciativas que demuestran tracción.</w:t>
      </w:r>
    </w:p>
    <w:p>
      <w:pPr>
        <w:pStyle w:val="ListParagraph"/>
        <w:numPr>
          <w:ilvl w:val="0"/>
          <w:numId w:val="2"/>
        </w:numPr>
        <w:spacing w:after="80" w:before="40" w:line="280"/>
      </w:pPr>
      <w:r>
        <w:rPr>
          <w:rFonts w:ascii="Arial" w:cs="Arial" w:eastAsia="Arial" w:hAnsi="Arial"/>
          <w:b/>
          <w:bCs/>
        </w:rPr>
        <w:t xml:space="preserve">3. Costo total, no costo de proyecto. </w:t>
      </w:r>
      <w:r>
        <w:rPr>
          <w:rFonts w:ascii="Arial" w:cs="Arial" w:eastAsia="Arial" w:hAnsi="Arial"/>
          <w:color w:val="2D2D2D"/>
          <w:sz w:val="22"/>
          <w:szCs w:val="22"/>
        </w:rPr>
        <w:t xml:space="preserve">El presupuesto incluye operación, talento, infraestructura, licenciamiento y mantenimiento en horizonte de 36 meses, no solo el costo de construcción. Iniciativas que se aprueban por costo de construcción y mueren en operación son la causa más recurrente de fracaso financiero.</w:t>
      </w:r>
    </w:p>
    <w:p>
      <w:pPr>
        <w:pStyle w:val="ListParagraph"/>
        <w:numPr>
          <w:ilvl w:val="0"/>
          <w:numId w:val="2"/>
        </w:numPr>
        <w:spacing w:after="80" w:before="40" w:line="280"/>
      </w:pPr>
      <w:r>
        <w:rPr>
          <w:rFonts w:ascii="Arial" w:cs="Arial" w:eastAsia="Arial" w:hAnsi="Arial"/>
          <w:b/>
          <w:bCs/>
        </w:rPr>
        <w:t xml:space="preserve">4. CapEx vs OpEx según naturaleza. </w:t>
      </w:r>
      <w:r>
        <w:rPr>
          <w:rFonts w:ascii="Arial" w:cs="Arial" w:eastAsia="Arial" w:hAnsi="Arial"/>
          <w:color w:val="2D2D2D"/>
          <w:sz w:val="22"/>
          <w:szCs w:val="22"/>
        </w:rPr>
        <w:t xml:space="preserve">Activos diferenciadores duraderos (modelos propios, plataforma, datos curados) tienden a CapEx. Servicios de terceros (LLMs, herramientas SaaS) tienden a OpEx. La mezcla afecta el perfil financiero pero no debe forzarse contra la naturaleza del activo.</w:t>
      </w:r>
    </w:p>
    <w:p>
      <w:pPr>
        <w:pStyle w:val="ListParagraph"/>
        <w:numPr>
          <w:ilvl w:val="0"/>
          <w:numId w:val="2"/>
        </w:numPr>
        <w:spacing w:after="80" w:before="40" w:line="280"/>
      </w:pPr>
      <w:r>
        <w:rPr>
          <w:rFonts w:ascii="Arial" w:cs="Arial" w:eastAsia="Arial" w:hAnsi="Arial"/>
          <w:b/>
          <w:bCs/>
        </w:rPr>
        <w:t xml:space="preserve">5. Costo del fracaso explícito. </w:t>
      </w:r>
      <w:r>
        <w:rPr>
          <w:rFonts w:ascii="Arial" w:cs="Arial" w:eastAsia="Arial" w:hAnsi="Arial"/>
          <w:color w:val="2D2D2D"/>
          <w:sz w:val="22"/>
          <w:szCs w:val="22"/>
        </w:rPr>
        <w:t xml:space="preserve">Cada iniciativa documenta cuánto se acepta perder antes de abortar. Sin ese número explícito, las iniciativas se mantienen vivas más tiempo del razonable por inercia política.</w:t>
      </w:r>
    </w:p>
    <w:p>
      <w:pPr>
        <w:pStyle w:val="ListParagraph"/>
        <w:numPr>
          <w:ilvl w:val="0"/>
          <w:numId w:val="2"/>
        </w:numPr>
        <w:spacing w:after="80" w:before="40" w:line="280"/>
      </w:pPr>
      <w:r>
        <w:rPr>
          <w:rFonts w:ascii="Arial" w:cs="Arial" w:eastAsia="Arial" w:hAnsi="Arial"/>
          <w:b/>
          <w:bCs/>
        </w:rPr>
        <w:t xml:space="preserve">6. Capacidades habilitadoras como inversión central. </w:t>
      </w:r>
      <w:r>
        <w:rPr>
          <w:rFonts w:ascii="Arial" w:cs="Arial" w:eastAsia="Arial" w:hAnsi="Arial"/>
          <w:color w:val="2D2D2D"/>
          <w:sz w:val="22"/>
          <w:szCs w:val="22"/>
        </w:rPr>
        <w:t xml:space="preserve">Datos, plataforma, talento y gobernanza no son costos de un proyecto; son inversiones del portafolio que se distribuyen entre iniciativas. Tratarlas como costo de un proyecto las subfinancia y se vuelven cuello de botella.</w:t>
      </w:r>
    </w:p>
    <w:p>
      <w:pPr>
        <w:pStyle w:val="ListParagraph"/>
        <w:numPr>
          <w:ilvl w:val="0"/>
          <w:numId w:val="2"/>
        </w:numPr>
        <w:spacing w:after="80" w:before="40" w:line="280"/>
      </w:pPr>
      <w:r>
        <w:rPr>
          <w:rFonts w:ascii="Arial" w:cs="Arial" w:eastAsia="Arial" w:hAnsi="Arial"/>
          <w:b/>
          <w:bCs/>
        </w:rPr>
        <w:t xml:space="preserve">7. Reporte financiero unificado. </w:t>
      </w:r>
      <w:r>
        <w:rPr>
          <w:rFonts w:ascii="Arial" w:cs="Arial" w:eastAsia="Arial" w:hAnsi="Arial"/>
          <w:color w:val="2D2D2D"/>
          <w:sz w:val="22"/>
          <w:szCs w:val="22"/>
        </w:rPr>
        <w:t xml:space="preserve">La inversión en IA se reporta como una línea visible del presupuesto corporativo, no se diluye en presupuestos de área. Sin visibilidad financiera, la disciplina del comité se vuelve simbólica.</w:t>
      </w:r>
    </w:p>
    <w:p>
      <w:pPr>
        <w:pStyle w:val="Heading1"/>
        <w:pageBreakBefore/>
        <w:spacing w:after="240" w:before="480"/>
      </w:pPr>
      <w:r>
        <w:rPr>
          <w:rFonts w:ascii="Arial" w:cs="Arial" w:eastAsia="Arial" w:hAnsi="Arial"/>
          <w:b/>
          <w:bCs/>
          <w:color w:val="1F3A5F"/>
          <w:sz w:val="36"/>
          <w:szCs w:val="36"/>
        </w:rPr>
        <w:t xml:space="preserve">7. Plantillas operativas del portafolio</w:t>
      </w:r>
    </w:p>
    <w:p>
      <w:pPr>
        <w:spacing w:after="180" w:before="120" w:line="320"/>
      </w:pPr>
      <w:r>
        <w:rPr>
          <w:rFonts w:ascii="Arial" w:cs="Arial" w:eastAsia="Arial" w:hAnsi="Arial"/>
          <w:color w:val="2D2D2D"/>
          <w:sz w:val="24"/>
          <w:szCs w:val="24"/>
        </w:rPr>
        <w:t xml:space="preserve">Tres plantillas mínimas estandarizan la conversación dentro del portafolio: el project charter (una página por iniciativa), el business case ejecutivo y el dashboard de portafolio. Estandarizar es lo que vuelve comparables a iniciativas distintas.</w:t>
      </w:r>
    </w:p>
    <w:p>
      <w:pPr>
        <w:pStyle w:val="Heading2"/>
        <w:spacing w:after="160" w:before="320"/>
      </w:pPr>
      <w:r>
        <w:rPr>
          <w:rFonts w:ascii="Arial" w:cs="Arial" w:eastAsia="Arial" w:hAnsi="Arial"/>
          <w:b/>
          <w:bCs/>
          <w:color w:val="1F3A5F"/>
          <w:sz w:val="28"/>
          <w:szCs w:val="28"/>
        </w:rPr>
        <w:t xml:space="preserve">7.1  Project Charter de iniciativa</w:t>
      </w:r>
    </w:p>
    <w:p>
      <w:pPr>
        <w:spacing w:after="120" w:before="60" w:line="300"/>
      </w:pPr>
      <w:r>
        <w:rPr>
          <w:rFonts w:ascii="Arial" w:cs="Arial" w:eastAsia="Arial" w:hAnsi="Arial"/>
          <w:color w:val="2D2D2D"/>
          <w:sz w:val="22"/>
          <w:szCs w:val="22"/>
        </w:rPr>
        <w:t xml:space="preserve">Documento de una sola página por iniciativa. Se firma en G0 (inicio descubrimiento). Toda iniciativa activa del portafolio tiene su charter actualizado.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Sección</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Contenido obligatorio</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1. Identificación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Nombre, ID, área propietaria, sponsor, líder de iniciativa, fecha de aprobación G0.</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2. Problema y valor</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Problema en una frase, vector de valor primario, indicador a mover, magnitud esperada.</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3. Solución hipótesis</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Familia de IA recomendada (Módulo 4), arquitectura de alto nivel, dependencias de datos.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4. Equipo y roles</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Sponsor, líder, equipo central, áreas involucradas, punto de contacto técnico, punto de contacto de adopción.</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5. Plan y horizonte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Hitos por gate (G1-G4), fechas estimadas, entregables clave por fase.</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6. Presupuesto y financiamiento</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Inversión total estimada por etapa, modelo de liberación por gate, costo del fracaso aceptado.</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7. Riesgos clave</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Top 3 riesgos identificados, controles iniciales, dueño de cada control.</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8. Criterios de éxito y aborto</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Métricas que definen éxito, umbrales de aborto, calendario de revisión.</w:t>
            </w:r>
          </w:p>
        </w:tc>
      </w:tr>
    </w:tbl>
    <w:p>
      <w:pPr>
        <w:pStyle w:val="Heading2"/>
        <w:spacing w:after="160" w:before="320"/>
      </w:pPr>
      <w:r>
        <w:rPr>
          <w:rFonts w:ascii="Arial" w:cs="Arial" w:eastAsia="Arial" w:hAnsi="Arial"/>
          <w:b/>
          <w:bCs/>
          <w:color w:val="1F3A5F"/>
          <w:sz w:val="28"/>
          <w:szCs w:val="28"/>
        </w:rPr>
        <w:t xml:space="preserve">7.2  Business Case ejecutivo</w:t>
      </w:r>
    </w:p>
    <w:p>
      <w:pPr>
        <w:spacing w:after="120" w:before="60" w:line="300"/>
      </w:pPr>
      <w:r>
        <w:rPr>
          <w:rFonts w:ascii="Arial" w:cs="Arial" w:eastAsia="Arial" w:hAnsi="Arial"/>
          <w:color w:val="2D2D2D"/>
          <w:sz w:val="22"/>
          <w:szCs w:val="22"/>
        </w:rPr>
        <w:t xml:space="preserve">Documento de dos a cuatro páginas. Se aprueba en G2 (paso a piloto) y se actualiza al menos una vez por año durante operación. La estructura mínima: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Sección</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Contenido obligatorio</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1. Resumen ejecutivo</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Una página: caso, valor esperado, inversión, recomendación. Para sponsor sin tiempo.</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2. Caso de negocio</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Cómo se traduce la solución en valor: línea base actual, escenario futuro, palancas concretas, indicador a mover y magnitud.</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3. Inversión</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TCO a 36 meses por categoría (talento, infraestructura, licencias, integración, operación, cambio organizacional). Mezcla CapEx/OpEx.</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4. Retorno y cronograma</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Curva de captura de valor por trimestre. Punto de equilibrio. ROI a 24 y 36 meses. NPV con tasa corporativa.</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5. Análisis de sensibilidad</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Escenario base, escenario conservador, escenario optimista. Variables de mayor impacto identificadas.</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6. Riesgos y mitigaciones</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Top 5 riesgos con impacto estimado y plan de mitigación específico.</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7. Criterios de aborto</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Condiciones explícitas que disparan aborto antes del fin del horizonte. Ejemplo: "Si en G3 la adopción no alcanza 40% en 90 días, se aborta".</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8. Dependencias</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Qué necesita esta iniciativa de otras iniciativas o capacidades centrales para producir el valor proyectado.</w:t>
            </w:r>
          </w:p>
        </w:tc>
      </w:tr>
    </w:tbl>
    <w:p>
      <w:pPr>
        <w:pStyle w:val="Heading2"/>
        <w:spacing w:after="160" w:before="320"/>
      </w:pPr>
      <w:r>
        <w:rPr>
          <w:rFonts w:ascii="Arial" w:cs="Arial" w:eastAsia="Arial" w:hAnsi="Arial"/>
          <w:b/>
          <w:bCs/>
          <w:color w:val="1F3A5F"/>
          <w:sz w:val="28"/>
          <w:szCs w:val="28"/>
        </w:rPr>
        <w:t xml:space="preserve">7.3  Dashboard ejecutivo de portafolio</w:t>
      </w:r>
    </w:p>
    <w:p>
      <w:pPr>
        <w:spacing w:after="120" w:before="60" w:line="300"/>
      </w:pPr>
      <w:r>
        <w:rPr>
          <w:rFonts w:ascii="Arial" w:cs="Arial" w:eastAsia="Arial" w:hAnsi="Arial"/>
          <w:color w:val="2D2D2D"/>
          <w:sz w:val="22"/>
          <w:szCs w:val="22"/>
        </w:rPr>
        <w:t xml:space="preserve">Tablero único que se publica antes de cada Comité de IA. Estructura visual recomendada en cuatro bandas: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Banda</w:t>
            </w:r>
          </w:p>
        </w:tc>
        <w:tc>
          <w:tcPr>
            <w:tcW w:type="dxa" w:w="6840"/>
            <w:tcBorders>
              <w:top w:val="single" w:color="CCCCCC" w:sz="1"/>
              <w:left w:val="single" w:color="CCCCCC" w:sz="1"/>
              <w:bottom w:val="single" w:color="CCCCCC" w:sz="1"/>
              <w:right w:val="single" w:color="CCCCCC" w:sz="1"/>
            </w:tcBorders>
            <w:shd w:fill="E8EEF4"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Contenido</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Banda 1 — Vista ejecutiva</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Semáforo agregado del portafolio (verde/ámbar/rojo), número de iniciativas activas por horizonte, valor capturado año-a-fecha vs comprometido.</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Banda 2 — Iniciativas activas</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Tabla de todas las iniciativas con columnas: nombre, horizonte, fase, semáforo de salud, semáforo de valor, próximo gate, dueño.</w:t>
            </w:r>
          </w:p>
        </w:tc>
      </w:tr>
      <w:tr>
        <w:trPr>
          <w:tblHeader w:val="false"/>
        </w:trPr>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Banda 3 — Tablero de métricas (Sección 5)</w:t>
            </w:r>
          </w:p>
        </w:tc>
        <w:tc>
          <w:tcPr>
            <w:tcW w:type="dxa" w:w="6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Las 12 métricas con su valor actual, umbral, semáforo y trayectoria mensual.</w:t>
            </w:r>
          </w:p>
        </w:tc>
      </w:tr>
      <w:tr>
        <w:trPr>
          <w:tblHeader w:val="false"/>
        </w:trPr>
        <w:tc>
          <w:tcPr>
            <w:tcW w:type="dxa" w:w="252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b/>
                <w:bCs/>
                <w:color w:val="1F3A5F"/>
                <w:sz w:val="20"/>
                <w:szCs w:val="20"/>
              </w:rPr>
              <w:t xml:space="preserve">Banda 4 — Decisiones requeridas</w:t>
            </w:r>
          </w:p>
        </w:tc>
        <w:tc>
          <w:tcPr>
            <w:tcW w:type="dxa" w:w="6840"/>
            <w:tcBorders>
              <w:top w:val="single" w:color="CCCCCC" w:sz="1"/>
              <w:left w:val="single" w:color="CCCCCC" w:sz="1"/>
              <w:bottom w:val="single" w:color="CCCCCC" w:sz="1"/>
              <w:right w:val="single" w:color="CCCCCC" w:sz="1"/>
            </w:tcBorders>
            <w:shd w:fill="F7F9FB" w:val="clear"/>
            <w:tcMar>
              <w:top w:type="dxa" w:w="100"/>
              <w:left w:type="dxa" w:w="140"/>
              <w:bottom w:type="dxa" w:w="100"/>
              <w:right w:type="dxa" w:w="140"/>
            </w:tcMar>
            <w:vAlign w:val="center"/>
          </w:tcPr>
          <w:p>
            <w:pPr>
              <w:spacing w:after="0" w:before="0" w:line="260"/>
              <w:jc w:val="left"/>
            </w:pPr>
            <w:r>
              <w:rPr>
                <w:rFonts w:ascii="Arial" w:cs="Arial" w:eastAsia="Arial" w:hAnsi="Arial"/>
                <w:color w:val="2D2D2D"/>
                <w:sz w:val="20"/>
                <w:szCs w:val="20"/>
              </w:rPr>
              <w:t xml:space="preserve">Lista explícita de decisiones que el comité debe tomar en esa sesión. Sin esta banda, las reuniones se vuelven informativas.</w:t>
            </w:r>
          </w:p>
        </w:tc>
      </w:tr>
    </w:tbl>
    <w:p>
      <w:pPr>
        <w:spacing w:after="0" w:before="200"/>
      </w:pPr>
      <w:r>
        <w:rPr>
          <w:rFonts w:ascii="Arial" w:cs="Arial" w:eastAsia="Arial" w:hAnsi="Arial"/>
        </w:rPr>
        <w:t xml:space="preserve"/>
      </w:r>
    </w:p>
    <w:p>
      <w:pPr>
        <w:pStyle w:val="Heading3"/>
        <w:spacing w:after="100" w:before="200"/>
      </w:pPr>
      <w:r>
        <w:rPr>
          <w:rFonts w:ascii="Arial" w:cs="Arial" w:eastAsia="Arial" w:hAnsi="Arial"/>
          <w:b/>
          <w:bCs/>
          <w:color w:val="2E75B6"/>
          <w:sz w:val="24"/>
          <w:szCs w:val="24"/>
        </w:rPr>
        <w:t xml:space="preserve">Reglas del dashboard</w:t>
      </w:r>
    </w:p>
    <w:p>
      <w:pPr>
        <w:pStyle w:val="ListParagraph"/>
        <w:numPr>
          <w:ilvl w:val="0"/>
          <w:numId w:val="2"/>
        </w:numPr>
        <w:spacing w:after="80" w:before="40" w:line="280"/>
      </w:pPr>
      <w:r>
        <w:rPr>
          <w:rFonts w:ascii="Arial" w:cs="Arial" w:eastAsia="Arial" w:hAnsi="Arial"/>
          <w:color w:val="2D2D2D"/>
          <w:sz w:val="22"/>
          <w:szCs w:val="22"/>
        </w:rPr>
        <w:t xml:space="preserve">Una sola página visual. Si no cabe, dividir en hojas pero mantener la vista ejecutiva única.</w:t>
      </w:r>
    </w:p>
    <w:p>
      <w:pPr>
        <w:pStyle w:val="ListParagraph"/>
        <w:numPr>
          <w:ilvl w:val="0"/>
          <w:numId w:val="2"/>
        </w:numPr>
        <w:spacing w:after="80" w:before="40" w:line="280"/>
      </w:pPr>
      <w:r>
        <w:rPr>
          <w:rFonts w:ascii="Arial" w:cs="Arial" w:eastAsia="Arial" w:hAnsi="Arial"/>
          <w:color w:val="2D2D2D"/>
          <w:sz w:val="22"/>
          <w:szCs w:val="22"/>
        </w:rPr>
        <w:t xml:space="preserve">Datos actualizados con menos de una semana de antigüedad. Tableros con datos viejos pierden credibilidad.</w:t>
      </w:r>
    </w:p>
    <w:p>
      <w:pPr>
        <w:pStyle w:val="ListParagraph"/>
        <w:numPr>
          <w:ilvl w:val="0"/>
          <w:numId w:val="2"/>
        </w:numPr>
        <w:spacing w:after="80" w:before="40" w:line="280"/>
      </w:pPr>
      <w:r>
        <w:rPr>
          <w:rFonts w:ascii="Arial" w:cs="Arial" w:eastAsia="Arial" w:hAnsi="Arial"/>
          <w:color w:val="2D2D2D"/>
          <w:sz w:val="22"/>
          <w:szCs w:val="22"/>
        </w:rPr>
        <w:t xml:space="preserve">Cada semáforo en rojo o ámbar enlaza a la nota de detalle correspondiente. Sin enlace, se ignora.</w:t>
      </w:r>
    </w:p>
    <w:p>
      <w:pPr>
        <w:pStyle w:val="ListParagraph"/>
        <w:numPr>
          <w:ilvl w:val="0"/>
          <w:numId w:val="2"/>
        </w:numPr>
        <w:spacing w:after="80" w:before="40" w:line="280"/>
      </w:pPr>
      <w:r>
        <w:rPr>
          <w:rFonts w:ascii="Arial" w:cs="Arial" w:eastAsia="Arial" w:hAnsi="Arial"/>
          <w:color w:val="2D2D2D"/>
          <w:sz w:val="22"/>
          <w:szCs w:val="22"/>
        </w:rPr>
        <w:t xml:space="preserve">Dueño único del dashboard: el PMO de portafolio o el Chief AI Officer. Múltiples dueños = inconsistencia garantizada.</w:t>
      </w:r>
    </w:p>
    <w:p>
      <w:pPr>
        <w:pStyle w:val="Heading1"/>
        <w:pageBreakBefore/>
        <w:spacing w:after="240" w:before="480"/>
      </w:pPr>
      <w:r>
        <w:rPr>
          <w:rFonts w:ascii="Arial" w:cs="Arial" w:eastAsia="Arial" w:hAnsi="Arial"/>
          <w:b/>
          <w:bCs/>
          <w:color w:val="1F3A5F"/>
          <w:sz w:val="36"/>
          <w:szCs w:val="36"/>
        </w:rPr>
        <w:t xml:space="preserve">8. Conexiones con otros módulos y cierre</w:t>
      </w:r>
    </w:p>
    <w:p>
      <w:pPr>
        <w:pStyle w:val="Heading2"/>
        <w:spacing w:after="160" w:before="320"/>
      </w:pPr>
      <w:r>
        <w:rPr>
          <w:rFonts w:ascii="Arial" w:cs="Arial" w:eastAsia="Arial" w:hAnsi="Arial"/>
          <w:b/>
          <w:bCs/>
          <w:color w:val="1F3A5F"/>
          <w:sz w:val="28"/>
          <w:szCs w:val="28"/>
        </w:rPr>
        <w:t xml:space="preserve">8.1  Cómo se integra el Módulo 3 con el resto</w:t>
      </w:r>
    </w:p>
    <w:p>
      <w:pPr>
        <w:pStyle w:val="ListParagraph"/>
        <w:numPr>
          <w:ilvl w:val="0"/>
          <w:numId w:val="2"/>
        </w:numPr>
        <w:spacing w:after="80" w:before="40" w:line="280"/>
      </w:pPr>
      <w:r>
        <w:rPr>
          <w:rFonts w:ascii="Arial" w:cs="Arial" w:eastAsia="Arial" w:hAnsi="Arial"/>
          <w:b/>
          <w:bCs/>
        </w:rPr>
        <w:t xml:space="preserve">Hacia atrás (Módulo 2): </w:t>
      </w:r>
      <w:r>
        <w:rPr>
          <w:rFonts w:ascii="Arial" w:cs="Arial" w:eastAsia="Arial" w:hAnsi="Arial"/>
          <w:color w:val="2D2D2D"/>
          <w:sz w:val="22"/>
          <w:szCs w:val="22"/>
        </w:rPr>
        <w:t xml:space="preserve">toma la lista priorizada de candidatos y los convierte en portafolio gestionado.</w:t>
      </w:r>
    </w:p>
    <w:p>
      <w:pPr>
        <w:pStyle w:val="ListParagraph"/>
        <w:numPr>
          <w:ilvl w:val="0"/>
          <w:numId w:val="2"/>
        </w:numPr>
        <w:spacing w:after="80" w:before="40" w:line="280"/>
      </w:pPr>
      <w:r>
        <w:rPr>
          <w:rFonts w:ascii="Arial" w:cs="Arial" w:eastAsia="Arial" w:hAnsi="Arial"/>
          <w:b/>
          <w:bCs/>
        </w:rPr>
        <w:t xml:space="preserve">Hacia el lado (Módulo 4): </w:t>
      </w:r>
      <w:r>
        <w:rPr>
          <w:rFonts w:ascii="Arial" w:cs="Arial" w:eastAsia="Arial" w:hAnsi="Arial"/>
          <w:color w:val="2D2D2D"/>
          <w:sz w:val="22"/>
          <w:szCs w:val="22"/>
        </w:rPr>
        <w:t xml:space="preserve">cada iniciativa pasa por el árbol/matriz del Módulo 4 antes de aprobarse en G1, para confirmar familia de IA.</w:t>
      </w:r>
    </w:p>
    <w:p>
      <w:pPr>
        <w:pStyle w:val="ListParagraph"/>
        <w:numPr>
          <w:ilvl w:val="0"/>
          <w:numId w:val="2"/>
        </w:numPr>
        <w:spacing w:after="80" w:before="40" w:line="280"/>
      </w:pPr>
      <w:r>
        <w:rPr>
          <w:rFonts w:ascii="Arial" w:cs="Arial" w:eastAsia="Arial" w:hAnsi="Arial"/>
          <w:b/>
          <w:bCs/>
        </w:rPr>
        <w:t xml:space="preserve">Hacia el lado (Módulo 5): </w:t>
      </w:r>
      <w:r>
        <w:rPr>
          <w:rFonts w:ascii="Arial" w:cs="Arial" w:eastAsia="Arial" w:hAnsi="Arial"/>
          <w:color w:val="2D2D2D"/>
          <w:sz w:val="22"/>
          <w:szCs w:val="22"/>
        </w:rPr>
        <w:t xml:space="preserve">la receta funcional del área propietaria orienta la solución técnica de la iniciativa.</w:t>
      </w:r>
    </w:p>
    <w:p>
      <w:pPr>
        <w:pStyle w:val="ListParagraph"/>
        <w:numPr>
          <w:ilvl w:val="0"/>
          <w:numId w:val="2"/>
        </w:numPr>
        <w:spacing w:after="80" w:before="40" w:line="280"/>
      </w:pPr>
      <w:r>
        <w:rPr>
          <w:rFonts w:ascii="Arial" w:cs="Arial" w:eastAsia="Arial" w:hAnsi="Arial"/>
          <w:b/>
          <w:bCs/>
        </w:rPr>
        <w:t xml:space="preserve">Hacia adelante (Módulo 6): </w:t>
      </w:r>
      <w:r>
        <w:rPr>
          <w:rFonts w:ascii="Arial" w:cs="Arial" w:eastAsia="Arial" w:hAnsi="Arial"/>
          <w:color w:val="2D2D2D"/>
          <w:sz w:val="22"/>
          <w:szCs w:val="22"/>
        </w:rPr>
        <w:t xml:space="preserve">el portafolio aprobado se ejecuta con la disciplina técnica (6A) y de adopción (6B). El comité de IA del Módulo 3 recibe los reportes operativos del Módulo 6.</w:t>
      </w:r>
    </w:p>
    <w:p>
      <w:pPr>
        <w:pStyle w:val="ListParagraph"/>
        <w:numPr>
          <w:ilvl w:val="0"/>
          <w:numId w:val="2"/>
        </w:numPr>
        <w:spacing w:after="80" w:before="40" w:line="280"/>
      </w:pPr>
      <w:r>
        <w:rPr>
          <w:rFonts w:ascii="Arial" w:cs="Arial" w:eastAsia="Arial" w:hAnsi="Arial"/>
          <w:b/>
          <w:bCs/>
        </w:rPr>
        <w:t xml:space="preserve">Hacia adelante (Módulo 7): </w:t>
      </w:r>
      <w:r>
        <w:rPr>
          <w:rFonts w:ascii="Arial" w:cs="Arial" w:eastAsia="Arial" w:hAnsi="Arial"/>
          <w:color w:val="2D2D2D"/>
          <w:sz w:val="22"/>
          <w:szCs w:val="22"/>
        </w:rPr>
        <w:t xml:space="preserve">la sostenibilidad de largo plazo del portafolio depende del Centro de Excelencia y del modelo operativo objetivo del Módulo 7.</w:t>
      </w:r>
    </w:p>
    <w:p>
      <w:pPr>
        <w:pStyle w:val="Heading2"/>
        <w:spacing w:after="160" w:before="320"/>
      </w:pPr>
      <w:r>
        <w:rPr>
          <w:rFonts w:ascii="Arial" w:cs="Arial" w:eastAsia="Arial" w:hAnsi="Arial"/>
          <w:b/>
          <w:bCs/>
          <w:color w:val="1F3A5F"/>
          <w:sz w:val="28"/>
          <w:szCs w:val="28"/>
        </w:rPr>
        <w:t xml:space="preserve">8.2  Cuándo se considera maduro un portafolio</w:t>
      </w:r>
    </w:p>
    <w:p>
      <w:pPr>
        <w:pStyle w:val="ListParagraph"/>
        <w:numPr>
          <w:ilvl w:val="0"/>
          <w:numId w:val="2"/>
        </w:numPr>
        <w:spacing w:after="80" w:before="40" w:line="280"/>
      </w:pPr>
      <w:r>
        <w:rPr>
          <w:rFonts w:ascii="Arial" w:cs="Arial" w:eastAsia="Arial" w:hAnsi="Arial"/>
          <w:color w:val="2D2D2D"/>
          <w:sz w:val="22"/>
          <w:szCs w:val="22"/>
        </w:rPr>
        <w:t xml:space="preserve">La salud del portafolio se mide con disciplina (categoría A en métricas) y el equipo central no es cuello de botella sostenido.</w:t>
      </w:r>
    </w:p>
    <w:p>
      <w:pPr>
        <w:pStyle w:val="ListParagraph"/>
        <w:numPr>
          <w:ilvl w:val="0"/>
          <w:numId w:val="2"/>
        </w:numPr>
        <w:spacing w:after="80" w:before="40" w:line="280"/>
      </w:pPr>
      <w:r>
        <w:rPr>
          <w:rFonts w:ascii="Arial" w:cs="Arial" w:eastAsia="Arial" w:hAnsi="Arial"/>
          <w:color w:val="2D2D2D"/>
          <w:sz w:val="22"/>
          <w:szCs w:val="22"/>
        </w:rPr>
        <w:t xml:space="preserve">Hay valor capturado real (categoría B) y la captura supera el 80% del comprometido.</w:t>
      </w:r>
    </w:p>
    <w:p>
      <w:pPr>
        <w:pStyle w:val="ListParagraph"/>
        <w:numPr>
          <w:ilvl w:val="0"/>
          <w:numId w:val="2"/>
        </w:numPr>
        <w:spacing w:after="80" w:before="40" w:line="280"/>
      </w:pPr>
      <w:r>
        <w:rPr>
          <w:rFonts w:ascii="Arial" w:cs="Arial" w:eastAsia="Arial" w:hAnsi="Arial"/>
          <w:color w:val="2D2D2D"/>
          <w:sz w:val="22"/>
          <w:szCs w:val="22"/>
        </w:rPr>
        <w:t xml:space="preserve">El riesgo agregado está bajo control (categoría C) y la concentración por familia y área se mantiene dentro de umbrales.</w:t>
      </w:r>
    </w:p>
    <w:p>
      <w:pPr>
        <w:pStyle w:val="ListParagraph"/>
        <w:numPr>
          <w:ilvl w:val="0"/>
          <w:numId w:val="2"/>
        </w:numPr>
        <w:spacing w:after="80" w:before="40" w:line="280"/>
      </w:pPr>
      <w:r>
        <w:rPr>
          <w:rFonts w:ascii="Arial" w:cs="Arial" w:eastAsia="Arial" w:hAnsi="Arial"/>
          <w:color w:val="2D2D2D"/>
          <w:sz w:val="22"/>
          <w:szCs w:val="22"/>
        </w:rPr>
        <w:t xml:space="preserve">El comité toma decisiones en cada sesión, no solo recibe reportes.</w:t>
      </w:r>
    </w:p>
    <w:p>
      <w:pPr>
        <w:pStyle w:val="ListParagraph"/>
        <w:numPr>
          <w:ilvl w:val="0"/>
          <w:numId w:val="2"/>
        </w:numPr>
        <w:spacing w:after="80" w:before="40" w:line="280"/>
      </w:pPr>
      <w:r>
        <w:rPr>
          <w:rFonts w:ascii="Arial" w:cs="Arial" w:eastAsia="Arial" w:hAnsi="Arial"/>
          <w:color w:val="2D2D2D"/>
          <w:sz w:val="22"/>
          <w:szCs w:val="22"/>
        </w:rPr>
        <w:t xml:space="preserve">La organización ya no necesita al consultor para sostener el método. Independencia adquirida.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
              <w:left w:val="single" w:color="1F3A5F" w:sz="18"/>
              <w:bottom w:val="single" w:color="1F3A5F" w:sz="1"/>
              <w:right w:val="single" w:color="1F3A5F" w:sz="1"/>
            </w:tcBorders>
            <w:shd w:fill="F7F9FB" w:val="clear"/>
            <w:tcMar>
              <w:top w:type="dxa" w:w="160"/>
              <w:left w:type="dxa" w:w="200"/>
              <w:bottom w:type="dxa" w:w="160"/>
              <w:right w:type="dxa" w:w="200"/>
            </w:tcMar>
          </w:tcPr>
          <w:p>
            <w:pPr>
              <w:spacing w:after="80" w:before="0"/>
            </w:pPr>
            <w:r>
              <w:rPr>
                <w:rFonts w:ascii="Arial" w:cs="Arial" w:eastAsia="Arial" w:hAnsi="Arial"/>
                <w:b/>
                <w:bCs/>
                <w:color w:val="1F3A5F"/>
                <w:sz w:val="22"/>
                <w:szCs w:val="22"/>
              </w:rPr>
              <w:t xml:space="preserve">Cuándo se simplifica el módulo</w:t>
            </w:r>
          </w:p>
          <w:p>
            <w:pPr>
              <w:spacing w:after="0" w:before="0" w:line="280"/>
            </w:pPr>
            <w:r>
              <w:rPr>
                <w:rFonts w:ascii="Arial" w:cs="Arial" w:eastAsia="Arial" w:hAnsi="Arial"/>
                <w:color w:val="2D2D2D"/>
                <w:sz w:val="22"/>
                <w:szCs w:val="22"/>
              </w:rPr>
              <w:t xml:space="preserve">Cuando la organización está realmente arrancando con cero o una iniciativa en producción, este módulo puede aplicarse en versión simplificada: comité bimensual, tablero de seis métricas, plantillas en una página. La disciplina importa más que la sofisticación. La sofisticación llega cuando el portafolio ya tiene seis o más iniciativas activas y la complejidad lo justifica.</w:t>
            </w:r>
          </w:p>
        </w:tc>
      </w:tr>
    </w:tbl>
    <w:p>
      <w:pPr>
        <w:spacing w:after="0" w:before="240"/>
      </w:pPr>
      <w:r>
        <w:rPr>
          <w:rFonts w:ascii="Arial" w:cs="Arial" w:eastAsia="Arial" w:hAnsi="Arial"/>
        </w:rPr>
        <w:t xml:space="preserve"/>
      </w:r>
    </w:p>
    <w:p>
      <w:pPr>
        <w:pBdr>
          <w:bottom w:val="single" w:color="1F3A5F" w:sz="12" w:space="1"/>
        </w:pBdr>
        <w:spacing w:after="240" w:before="240"/>
      </w:pPr>
      <w:r>
        <w:rPr>
          <w:rFonts w:ascii="Arial" w:cs="Arial" w:eastAsia="Arial" w:hAnsi="Arial"/>
        </w:rPr>
        <w:t xml:space="preserve"> </w:t>
      </w:r>
    </w:p>
    <w:p>
      <w:pPr>
        <w:spacing w:after="0" w:before="120"/>
        <w:jc w:val="center"/>
      </w:pPr>
      <w:r>
        <w:rPr>
          <w:rFonts w:ascii="Arial" w:cs="Arial" w:eastAsia="Arial" w:hAnsi="Arial"/>
          <w:i/>
          <w:iCs/>
          <w:color w:val="6B7280"/>
          <w:sz w:val="22"/>
          <w:szCs w:val="22"/>
        </w:rPr>
        <w:t xml:space="preserve">Fin del Módulo 3</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6B7280"/>
        <w:sz w:val="18"/>
        <w:szCs w:val="18"/>
      </w:rPr>
      <w:t xml:space="preserve">Documento técnico operativo · v1.0</w:t>
    </w:r>
    <w:r>
      <w:rPr>
        <w:rFonts w:ascii="Arial" w:cs="Arial" w:eastAsia="Arial" w:hAnsi="Arial"/>
        <w:color w:val="6B7280"/>
        <w:sz w:val="18"/>
        <w:szCs w:val="18"/>
      </w:rPr>
      <w:t xml:space="preserve">	Página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de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4"/>
      </w:pBdr>
      <w:tabs>
        <w:tab w:val="right" w:pos="9360"/>
      </w:tabs>
      <w:spacing w:after="0"/>
    </w:pPr>
    <w:r>
      <w:rPr>
        <w:rFonts w:ascii="Arial" w:cs="Arial" w:eastAsia="Arial" w:hAnsi="Arial"/>
        <w:color w:val="6B7280"/>
        <w:sz w:val="18"/>
        <w:szCs w:val="18"/>
      </w:rPr>
      <w:t xml:space="preserve">Metodología de Implementación de IA  |  Módulo 3</w:t>
    </w:r>
    <w:r>
      <w:rPr>
        <w:rFonts w:ascii="Arial" w:cs="Arial" w:eastAsia="Arial" w:hAnsi="Arial"/>
        <w:i/>
        <w:iCs/>
        <w:color w:val="6B7280"/>
        <w:sz w:val="18"/>
        <w:szCs w:val="18"/>
      </w:rPr>
      <w:t xml:space="preserve">	Portafolio de innovación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Q%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A5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2026-05-01T12:26:24.392Z</dcterms:created>
  <dcterms:modified xsi:type="dcterms:W3CDTF">2026-05-01T12:26:24.396Z</dcterms:modified>
</cp:coreProperties>
</file>

<file path=docProps/custom.xml><?xml version="1.0" encoding="utf-8"?>
<Properties xmlns="http://schemas.openxmlformats.org/officeDocument/2006/custom-properties" xmlns:vt="http://schemas.openxmlformats.org/officeDocument/2006/docPropsVTypes"/>
</file>