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rFonts w:ascii="Arial" w:cs="Arial" w:eastAsia="Arial" w:hAnsi="Arial"/>
        </w:rPr>
        <w:t xml:space="preserve"/>
      </w:r>
    </w:p>
    <w:p>
      <w:pPr>
        <w:spacing w:after="240" w:before="0"/>
        <w:jc w:val="left"/>
      </w:pPr>
      <w:r>
        <w:rPr>
          <w:rFonts w:ascii="Arial" w:cs="Arial" w:eastAsia="Arial" w:hAnsi="Arial"/>
          <w:b/>
          <w:bCs/>
          <w:color w:val="2E75B6"/>
          <w:spacing w:val="60"/>
          <w:sz w:val="22"/>
          <w:szCs w:val="22"/>
        </w:rPr>
        <w:t xml:space="preserve">METODOLOGÍA DE IMPLEMENTACIÓN DE IA PARA EMPRESAS</w:t>
      </w:r>
    </w:p>
    <w:p>
      <w:pPr>
        <w:spacing w:after="120" w:before="0"/>
        <w:jc w:val="left"/>
      </w:pPr>
      <w:r>
        <w:rPr>
          <w:rFonts w:ascii="Arial" w:cs="Arial" w:eastAsia="Arial" w:hAnsi="Arial"/>
          <w:b/>
          <w:bCs/>
          <w:color w:val="6B7280"/>
          <w:sz w:val="28"/>
          <w:szCs w:val="28"/>
        </w:rPr>
        <w:t xml:space="preserve">Módulo 4</w:t>
      </w:r>
    </w:p>
    <w:p>
      <w:pPr>
        <w:spacing w:after="80" w:before="0"/>
        <w:jc w:val="left"/>
      </w:pPr>
      <w:r>
        <w:rPr>
          <w:rFonts w:ascii="Arial" w:cs="Arial" w:eastAsia="Arial" w:hAnsi="Arial"/>
          <w:b/>
          <w:bCs/>
          <w:color w:val="1F3A5F"/>
          <w:sz w:val="72"/>
          <w:szCs w:val="72"/>
        </w:rPr>
        <w:t xml:space="preserve">Marco de Decisión</w:t>
      </w:r>
    </w:p>
    <w:p>
      <w:pPr>
        <w:spacing w:after="480" w:before="0"/>
        <w:jc w:val="left"/>
      </w:pPr>
      <w:r>
        <w:rPr>
          <w:rFonts w:ascii="Arial" w:cs="Arial" w:eastAsia="Arial" w:hAnsi="Arial"/>
          <w:i/>
          <w:iCs/>
          <w:color w:val="2D2D2D"/>
          <w:sz w:val="36"/>
          <w:szCs w:val="36"/>
        </w:rPr>
        <w:t xml:space="preserve">¿Qué tipo de IA aplica a cada problema?</w:t>
      </w:r>
    </w:p>
    <w:p>
      <w:pPr>
        <w:pBdr>
          <w:bottom w:val="single" w:color="1F3A5F" w:sz="12" w:space="1"/>
        </w:pBdr>
        <w:spacing w:after="240" w:before="120"/>
      </w:pPr>
      <w:r>
        <w:rPr>
          <w:rFonts w:ascii="Arial" w:cs="Arial" w:eastAsia="Arial" w:hAnsi="Arial"/>
        </w:rPr>
        <w:t xml:space="preserve"> </w:t>
      </w:r>
    </w:p>
    <w:p>
      <w:pPr>
        <w:spacing w:after="360" w:before="120" w:line="360"/>
      </w:pPr>
      <w:r>
        <w:rPr>
          <w:rFonts w:ascii="Arial" w:cs="Arial" w:eastAsia="Arial" w:hAnsi="Arial"/>
          <w:color w:val="2D2D2D"/>
          <w:sz w:val="24"/>
          <w:szCs w:val="24"/>
        </w:rPr>
        <w:t xml:space="preserve">Un marco práctico para decidir entre reglas, machine learning clásico e IA generativa, según las características del problema, los datos y las restricciones del negocio.</w:t>
      </w:r>
    </w:p>
    <w:p>
      <w:pPr>
        <w:spacing w:after="0" w:before="12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DOCUMENTO</w:t>
            </w:r>
          </w:p>
        </w:tc>
        <w:tc>
          <w:tcPr>
            <w:tcW w:type="dxa" w:w="31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AUDIENCIA</w:t>
            </w:r>
          </w:p>
        </w:tc>
        <w:tc>
          <w:tcPr>
            <w:tcW w:type="dxa" w:w="31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ALCANCE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Ejecutivo de referencia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Consultores y líderes de innovación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Sector-agnóstico</w:t>
            </w:r>
          </w:p>
        </w:tc>
      </w:tr>
    </w:tbl>
    <w:p>
      <w:pPr>
        <w:spacing w:after="0" w:before="240"/>
      </w:pPr>
      <w:r>
        <w:rPr>
          <w:rFonts w:ascii="Arial" w:cs="Arial" w:eastAsia="Arial" w:hAnsi="Arial"/>
        </w:rPr>
        <w:t xml:space="preserve"/>
      </w:r>
    </w:p>
    <w:p>
      <w:pPr>
        <w:spacing w:after="0" w:before="60"/>
        <w:jc w:val="left"/>
      </w:pPr>
      <w:r>
        <w:rPr>
          <w:rFonts w:ascii="Arial" w:cs="Arial" w:eastAsia="Arial" w:hAnsi="Arial"/>
          <w:color w:val="6B7280"/>
          <w:sz w:val="18"/>
          <w:szCs w:val="18"/>
        </w:rPr>
        <w:t xml:space="preserve">Versión 1.0  |  Documento maestro + resumen desprendible</w:t>
      </w:r>
    </w:p>
    <w:p>
      <w:pPr>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pPr>
    </w:p>
    <w:p>
      <w:pPr>
        <w:spacing w:after="40" w:before="60"/>
      </w:pPr>
      <w:r>
        <w:rPr>
          <w:rFonts w:ascii="Arial" w:cs="Arial" w:eastAsia="Arial" w:hAnsi="Arial"/>
          <w:b/>
          <w:bCs/>
          <w:color w:val="2E75B6"/>
          <w:spacing w:val="40"/>
          <w:sz w:val="18"/>
          <w:szCs w:val="18"/>
        </w:rPr>
        <w:t xml:space="preserve">RESUMEN EJECUTIVO DESPRENDIBLE</w:t>
      </w:r>
    </w:p>
    <w:p>
      <w:pPr>
        <w:pStyle w:val="Heading1"/>
        <w:spacing w:after="240" w:before="0"/>
      </w:pPr>
      <w:r>
        <w:rPr>
          <w:rFonts w:ascii="Arial" w:cs="Arial" w:eastAsia="Arial" w:hAnsi="Arial"/>
          <w:b/>
          <w:bCs/>
          <w:color w:val="1F3A5F"/>
          <w:sz w:val="36"/>
          <w:szCs w:val="36"/>
        </w:rPr>
        <w:t xml:space="preserve">En una página: cómo decidir qué IA usar</w:t>
      </w:r>
    </w:p>
    <w:p>
      <w:pPr>
        <w:spacing w:after="180" w:before="120" w:line="320"/>
      </w:pPr>
      <w:r>
        <w:rPr>
          <w:rFonts w:ascii="Arial" w:cs="Arial" w:eastAsia="Arial" w:hAnsi="Arial"/>
          <w:color w:val="2D2D2D"/>
          <w:sz w:val="24"/>
          <w:szCs w:val="24"/>
        </w:rPr>
        <w:t xml:space="preserve">La pregunta no es "¿qué modelo de IA implemento?" sino "¿qué problema de negocio resuelvo, con qué datos, bajo qué restricciones y para qué nivel de riesgo?". El modelo es consecuencia, no punto de partida.</w:t>
      </w:r>
    </w:p>
    <w:p>
      <w:pPr>
        <w:pStyle w:val="Heading3"/>
        <w:spacing w:after="100" w:before="200"/>
      </w:pPr>
      <w:r>
        <w:rPr>
          <w:rFonts w:ascii="Arial" w:cs="Arial" w:eastAsia="Arial" w:hAnsi="Arial"/>
          <w:b/>
          <w:bCs/>
          <w:color w:val="2E75B6"/>
          <w:sz w:val="24"/>
          <w:szCs w:val="24"/>
        </w:rPr>
        <w:t xml:space="preserve">Las tres familias en juego</w:t>
      </w:r>
    </w:p>
    <w:p>
      <w:pPr>
        <w:spacing w:after="120" w:before="60" w:line="300"/>
      </w:pPr>
      <w:r>
        <w:rPr>
          <w:rFonts w:ascii="Arial" w:cs="Arial" w:eastAsia="Arial" w:hAnsi="Arial"/>
          <w:color w:val="2D2D2D"/>
          <w:sz w:val="22"/>
          <w:szCs w:val="22"/>
        </w:rPr>
        <w:t xml:space="preserve">Este módulo trabaja con un espectro de tres familias que cubren la gran mayoría de problemas empresariales reales: reglas y automatización clásica, machine learning supervisado y no supervisado, y modelos generativos con LLMs y agentes. Cada familia es óptima en un rango distinto del problema; mezclarlas inteligentemente suele ser la respuesta correcta.</w:t>
      </w:r>
    </w:p>
    <w:p>
      <w:pPr>
        <w:pStyle w:val="Heading3"/>
        <w:spacing w:after="100" w:before="200"/>
      </w:pPr>
      <w:r>
        <w:rPr>
          <w:rFonts w:ascii="Arial" w:cs="Arial" w:eastAsia="Arial" w:hAnsi="Arial"/>
          <w:b/>
          <w:bCs/>
          <w:color w:val="2E75B6"/>
          <w:sz w:val="24"/>
          <w:szCs w:val="24"/>
        </w:rPr>
        <w:t xml:space="preserve">Los seis criterios que mandan</w:t>
      </w:r>
    </w:p>
    <w:p>
      <w:pPr>
        <w:spacing w:after="120" w:before="60" w:line="300"/>
      </w:pPr>
      <w:r>
        <w:rPr>
          <w:rFonts w:ascii="Arial" w:cs="Arial" w:eastAsia="Arial" w:hAnsi="Arial"/>
          <w:color w:val="2D2D2D"/>
          <w:sz w:val="22"/>
          <w:szCs w:val="22"/>
        </w:rPr>
        <w:t xml:space="preserve">Antes de elegir tecnología, el marco fuerza a calificar el problema en seis dimensiones: estructura del problema, disponibilidad y calidad de datos, tolerancia al error, explicabilidad requerida, sensibilidad regulatoria y costo total. Estos seis criterios resuelven el 80% de las decisiones; los cuatro adicionales (latencia, sensibilidad de datos, ROI esperado y madurez del equipo) afinan los casos de borde.</w:t>
      </w:r>
    </w:p>
    <w:p>
      <w:pPr>
        <w:pStyle w:val="Heading3"/>
        <w:spacing w:after="100" w:before="200"/>
      </w:pPr>
      <w:r>
        <w:rPr>
          <w:rFonts w:ascii="Arial" w:cs="Arial" w:eastAsia="Arial" w:hAnsi="Arial"/>
          <w:b/>
          <w:bCs/>
          <w:color w:val="2E75B6"/>
          <w:sz w:val="24"/>
          <w:szCs w:val="24"/>
        </w:rPr>
        <w:t xml:space="preserve">Cómo se usa el documento</w:t>
      </w:r>
    </w:p>
    <w:p>
      <w:pPr>
        <w:spacing w:after="120" w:before="60" w:line="300"/>
      </w:pPr>
      <w:r>
        <w:rPr>
          <w:rFonts w:ascii="Arial" w:cs="Arial" w:eastAsia="Arial" w:hAnsi="Arial"/>
          <w:color w:val="2D2D2D"/>
          <w:sz w:val="22"/>
          <w:szCs w:val="22"/>
        </w:rPr>
        <w:t xml:space="preserve">El marco se aplica en tres pasos. Primero se recorre el árbol de decisión visual de la Sección 5 para obtener una hipótesis rápida de familia. Segundo, se valida con la matriz de scoring multicriterio de la Sección 6 que entrega una recomendación cuantificada. Tercero, se completa el cuestionario guiado de la Sección 7 como artefacto de trabajo y evidencia de la decisión.</w:t>
      </w:r>
    </w:p>
    <w:p>
      <w:pPr>
        <w:pStyle w:val="Heading3"/>
        <w:spacing w:after="100" w:before="200"/>
      </w:pPr>
      <w:r>
        <w:rPr>
          <w:rFonts w:ascii="Arial" w:cs="Arial" w:eastAsia="Arial" w:hAnsi="Arial"/>
          <w:b/>
          <w:bCs/>
          <w:color w:val="2E75B6"/>
          <w:sz w:val="24"/>
          <w:szCs w:val="24"/>
        </w:rPr>
        <w:t xml:space="preserve">Qué decide el marco y qué no decide</w:t>
      </w:r>
    </w:p>
    <w:p>
      <w:pPr>
        <w:spacing w:after="120" w:before="60" w:line="300"/>
      </w:pPr>
      <w:r>
        <w:rPr>
          <w:rFonts w:ascii="Arial" w:cs="Arial" w:eastAsia="Arial" w:hAnsi="Arial"/>
          <w:b/>
          <w:bCs/>
        </w:rPr>
        <w:t xml:space="preserve">Sí decide: </w:t>
      </w:r>
      <w:r>
        <w:rPr>
          <w:rFonts w:ascii="Arial" w:cs="Arial" w:eastAsia="Arial" w:hAnsi="Arial"/>
          <w:color w:val="2D2D2D"/>
          <w:sz w:val="22"/>
          <w:szCs w:val="22"/>
        </w:rPr>
        <w:t xml:space="preserve">la familia de IA recomendada, el modo de adquisición (build/buy/partner) en alto nivel, y los principales riesgos regulatorios a gestionar.</w:t>
      </w:r>
    </w:p>
    <w:p>
      <w:pPr>
        <w:spacing w:after="120" w:before="60" w:line="300"/>
      </w:pPr>
      <w:r>
        <w:rPr>
          <w:rFonts w:ascii="Arial" w:cs="Arial" w:eastAsia="Arial" w:hAnsi="Arial"/>
          <w:b/>
          <w:bCs/>
        </w:rPr>
        <w:t xml:space="preserve">No decide: </w:t>
      </w:r>
      <w:r>
        <w:rPr>
          <w:rFonts w:ascii="Arial" w:cs="Arial" w:eastAsia="Arial" w:hAnsi="Arial"/>
          <w:color w:val="2D2D2D"/>
          <w:sz w:val="22"/>
          <w:szCs w:val="22"/>
        </w:rPr>
        <w:t xml:space="preserve">vendor específico, arquitectura técnica detallada, ni el plan de implementación. Eso vive en los Módulos 5 (recetas por área) y 6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8"/>
              <w:bottom w:val="single" w:color="1F3A5F" w:sz="1"/>
              <w:right w:val="single" w:color="1F3A5F" w:sz="1"/>
            </w:tcBorders>
            <w:shd w:fill="F7F9FB" w:val="clear"/>
            <w:tcMar>
              <w:top w:type="dxa" w:w="160"/>
              <w:left w:type="dxa" w:w="200"/>
              <w:bottom w:type="dxa" w:w="160"/>
              <w:right w:type="dxa" w:w="200"/>
            </w:tcMar>
          </w:tcPr>
          <w:p>
            <w:pPr>
              <w:spacing w:after="80" w:before="0"/>
            </w:pPr>
            <w:r>
              <w:rPr>
                <w:rFonts w:ascii="Arial" w:cs="Arial" w:eastAsia="Arial" w:hAnsi="Arial"/>
                <w:b/>
                <w:bCs/>
                <w:color w:val="1F3A5F"/>
                <w:sz w:val="22"/>
                <w:szCs w:val="22"/>
              </w:rPr>
              <w:t xml:space="preserve">Principio rector</w:t>
            </w:r>
          </w:p>
          <w:p>
            <w:pPr>
              <w:spacing w:after="0" w:before="0" w:line="280"/>
            </w:pPr>
            <w:r>
              <w:rPr>
                <w:rFonts w:ascii="Arial" w:cs="Arial" w:eastAsia="Arial" w:hAnsi="Arial"/>
                <w:color w:val="2D2D2D"/>
                <w:sz w:val="22"/>
                <w:szCs w:val="22"/>
              </w:rPr>
              <w:t xml:space="preserve">La solución más simple que resuelve el problema con un nivel de riesgo aceptable es siempre la respuesta correcta. La sofisticación tecnológica no es un objetivo de negocio.</w:t>
            </w:r>
          </w:p>
        </w:tc>
      </w:tr>
    </w:tbl>
    <w:p>
      <w:pPr>
        <w:spacing w:after="120" w:before="60" w:line="300"/>
      </w:pPr>
      <w:r>
        <w:rPr>
          <w:rFonts w:ascii="Arial" w:cs="Arial" w:eastAsia="Arial" w:hAnsi="Arial"/>
          <w:color w:val="2D2D2D"/>
          <w:sz w:val="22"/>
          <w:szCs w:val="22"/>
        </w:rPr>
        <w:t xml:space="preserve"/>
      </w:r>
    </w:p>
    <w:p>
      <w:pPr>
        <w:pStyle w:val="Heading3"/>
        <w:spacing w:after="100" w:before="200"/>
      </w:pPr>
      <w:r>
        <w:rPr>
          <w:rFonts w:ascii="Arial" w:cs="Arial" w:eastAsia="Arial" w:hAnsi="Arial"/>
          <w:b/>
          <w:bCs/>
          <w:color w:val="2E75B6"/>
          <w:sz w:val="24"/>
          <w:szCs w:val="24"/>
        </w:rPr>
        <w:t xml:space="preserve">Tabla de orientación rápida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Si el problema es...</w:t>
            </w:r>
          </w:p>
        </w:tc>
        <w:tc>
          <w:tcPr>
            <w:tcW w:type="dxa" w:w="24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Y los datos son...</w:t>
            </w:r>
          </w:p>
        </w:tc>
        <w:tc>
          <w:tcPr>
            <w:tcW w:type="dxa" w:w="24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La familia recomendada es...</w:t>
            </w:r>
          </w:p>
        </w:tc>
        <w:tc>
          <w:tcPr>
            <w:tcW w:type="dxa" w:w="21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Riesgo principal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Determinístico, con reglas claras y estables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Estructurados, completos, en sistemas conocidos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Reglas y automatización clásica</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Mantenimiento de reglas a futuro</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De predicción/clasificación con patrones repetibles</w:t>
            </w:r>
          </w:p>
        </w:tc>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Históricos, etiquetados, de buena calidad</w:t>
            </w:r>
          </w:p>
        </w:tc>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ML supervisado / no supervisado</w:t>
            </w:r>
          </w:p>
        </w:tc>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Sesgo, drift y explicabilidad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Comprensión de lenguaje, generación o razonamiento abierto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No estructurados (texto, voz, documentos)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LLMs, IA generativa, agentes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Alucinaciones, costo, fuga de datos</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Mixto o complejo</w:t>
            </w:r>
          </w:p>
        </w:tc>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Combinación variable</w:t>
            </w:r>
          </w:p>
        </w:tc>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Solución híbrida (orquestada)</w:t>
            </w:r>
          </w:p>
        </w:tc>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Complejidad operativa</w:t>
            </w:r>
          </w:p>
        </w:tc>
      </w:tr>
    </w:tbl>
    <w:p>
      <w:r>
        <w:br w:type="page"/>
      </w:r>
    </w:p>
    <w:p>
      <w:pPr>
        <w:pStyle w:val="Heading1"/>
        <w:spacing w:after="240" w:before="240"/>
      </w:pPr>
      <w:r>
        <w:rPr>
          <w:rFonts w:ascii="Arial" w:cs="Arial" w:eastAsia="Arial" w:hAnsi="Arial"/>
          <w:b/>
          <w:bCs/>
          <w:color w:val="1F3A5F"/>
          <w:sz w:val="36"/>
          <w:szCs w:val="36"/>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pPr>
        <w:pStyle w:val="Heading1"/>
        <w:pageBreakBefore/>
        <w:spacing w:after="240" w:before="480"/>
      </w:pPr>
      <w:r>
        <w:rPr>
          <w:rFonts w:ascii="Arial" w:cs="Arial" w:eastAsia="Arial" w:hAnsi="Arial"/>
          <w:b/>
          <w:bCs/>
          <w:color w:val="1F3A5F"/>
          <w:sz w:val="36"/>
          <w:szCs w:val="36"/>
        </w:rPr>
        <w:t xml:space="preserve">1. Introducción y propósito</w:t>
      </w:r>
    </w:p>
    <w:p>
      <w:pPr>
        <w:spacing w:after="180" w:before="120" w:line="320"/>
      </w:pPr>
      <w:r>
        <w:rPr>
          <w:rFonts w:ascii="Arial" w:cs="Arial" w:eastAsia="Arial" w:hAnsi="Arial"/>
          <w:color w:val="2D2D2D"/>
          <w:sz w:val="24"/>
          <w:szCs w:val="24"/>
        </w:rPr>
        <w:t xml:space="preserve">La selección del tipo de inteligencia artificial es la decisión técnica más consecuente y, a la vez, la más mal planteada en proyectos empresariales. Este módulo entrega un marco estructurado para resolverla con criterios de negocio, no de moda tecnológica.</w:t>
      </w:r>
    </w:p>
    <w:p>
      <w:pPr>
        <w:pStyle w:val="Heading2"/>
        <w:spacing w:after="160" w:before="320"/>
      </w:pPr>
      <w:r>
        <w:rPr>
          <w:rFonts w:ascii="Arial" w:cs="Arial" w:eastAsia="Arial" w:hAnsi="Arial"/>
          <w:b/>
          <w:bCs/>
          <w:color w:val="1F3A5F"/>
          <w:sz w:val="28"/>
          <w:szCs w:val="28"/>
        </w:rPr>
        <w:t xml:space="preserve">1.1  Por qué un marco de decisión y no un catálogo</w:t>
      </w:r>
    </w:p>
    <w:p>
      <w:pPr>
        <w:spacing w:after="120" w:before="60" w:line="300"/>
      </w:pPr>
      <w:r>
        <w:rPr>
          <w:rFonts w:ascii="Arial" w:cs="Arial" w:eastAsia="Arial" w:hAnsi="Arial"/>
          <w:color w:val="2D2D2D"/>
          <w:sz w:val="22"/>
          <w:szCs w:val="22"/>
        </w:rPr>
        <w:t xml:space="preserve">Los catálogos de IA envejecen rápido. Hace tres años el centro del catálogo eran los modelos de visión por computadora; hoy lo son los modelos fundacionales y los agentes; en tres años más será otra cosa. Un catálogo se vuelve obsoleto cada 18 meses.</w:t>
      </w:r>
    </w:p>
    <w:p>
      <w:pPr>
        <w:spacing w:after="120" w:before="60" w:line="300"/>
      </w:pPr>
      <w:r>
        <w:rPr>
          <w:rFonts w:ascii="Arial" w:cs="Arial" w:eastAsia="Arial" w:hAnsi="Arial"/>
          <w:color w:val="2D2D2D"/>
          <w:sz w:val="22"/>
          <w:szCs w:val="22"/>
        </w:rPr>
        <w:t xml:space="preserve">Lo que no envejece son los criterios de decisión. Las preguntas que distinguen un problema apto para reglas de uno apto para machine learning, o las que distinguen un caso de IA generativa de uno donde la generación es contraproducente, son estables en el tiempo. Este módulo se construye alrededor de esos criterios para que la metodología siga siendo útil aunque el menú de tecnologías cambie.</w:t>
      </w:r>
    </w:p>
    <w:p>
      <w:pPr>
        <w:pStyle w:val="Heading2"/>
        <w:spacing w:after="160" w:before="320"/>
      </w:pPr>
      <w:r>
        <w:rPr>
          <w:rFonts w:ascii="Arial" w:cs="Arial" w:eastAsia="Arial" w:hAnsi="Arial"/>
          <w:b/>
          <w:bCs/>
          <w:color w:val="1F3A5F"/>
          <w:sz w:val="28"/>
          <w:szCs w:val="28"/>
        </w:rPr>
        <w:t xml:space="preserve">1.2  Audiencia y modo de uso</w:t>
      </w:r>
    </w:p>
    <w:p>
      <w:pPr>
        <w:spacing w:after="120" w:before="60" w:line="300"/>
      </w:pPr>
      <w:r>
        <w:rPr>
          <w:rFonts w:ascii="Arial" w:cs="Arial" w:eastAsia="Arial" w:hAnsi="Arial"/>
          <w:color w:val="2D2D2D"/>
          <w:sz w:val="22"/>
          <w:szCs w:val="22"/>
        </w:rPr>
        <w:t xml:space="preserve">El documento está pensado para dos audiencias en simultáneo. Para el consultor o líder de innovación, funciona como instrumento de diagnóstico aplicable en talleres con cliente: el árbol de decisión, la matriz de scoring y el cuestionario guiado son artefactos directamente utilizables. Para el comité directivo del cliente, el resumen ejecutivo desprendible y las tablas de orientación rápida ofrecen el lenguaje y el detalle suficientes para participar en la decisión sin necesidad de profundizar en la mecánica.</w:t>
      </w:r>
    </w:p>
    <w:p>
      <w:pPr>
        <w:pStyle w:val="Heading2"/>
        <w:spacing w:after="160" w:before="320"/>
      </w:pPr>
      <w:r>
        <w:rPr>
          <w:rFonts w:ascii="Arial" w:cs="Arial" w:eastAsia="Arial" w:hAnsi="Arial"/>
          <w:b/>
          <w:bCs/>
          <w:color w:val="1F3A5F"/>
          <w:sz w:val="28"/>
          <w:szCs w:val="28"/>
        </w:rPr>
        <w:t xml:space="preserve">1.3  Cómo se conecta con los demás módulos</w:t>
      </w:r>
    </w:p>
    <w:p>
      <w:pPr>
        <w:pStyle w:val="ListParagraph"/>
        <w:numPr>
          <w:ilvl w:val="0"/>
          <w:numId w:val="2"/>
        </w:numPr>
        <w:spacing w:after="80" w:before="40" w:line="280"/>
      </w:pPr>
      <w:r>
        <w:rPr>
          <w:rFonts w:ascii="Arial" w:cs="Arial" w:eastAsia="Arial" w:hAnsi="Arial"/>
          <w:b/>
          <w:bCs/>
        </w:rPr>
        <w:t xml:space="preserve">Módulo 1 — Fundamentos y alineación estratégica: </w:t>
      </w:r>
      <w:r>
        <w:rPr>
          <w:rFonts w:ascii="Arial" w:cs="Arial" w:eastAsia="Arial" w:hAnsi="Arial"/>
          <w:color w:val="2D2D2D"/>
          <w:sz w:val="22"/>
          <w:szCs w:val="22"/>
        </w:rPr>
        <w:t xml:space="preserve">aporta el portafolio de objetivos estratégicos que justifican cada iniciativa.</w:t>
      </w:r>
    </w:p>
    <w:p>
      <w:pPr>
        <w:pStyle w:val="ListParagraph"/>
        <w:numPr>
          <w:ilvl w:val="0"/>
          <w:numId w:val="2"/>
        </w:numPr>
        <w:spacing w:after="80" w:before="40" w:line="280"/>
      </w:pPr>
      <w:r>
        <w:rPr>
          <w:rFonts w:ascii="Arial" w:cs="Arial" w:eastAsia="Arial" w:hAnsi="Arial"/>
          <w:b/>
          <w:bCs/>
        </w:rPr>
        <w:t xml:space="preserve">Módulo 2 — Diagnóstico y mapa de oportunidades: </w:t>
      </w:r>
      <w:r>
        <w:rPr>
          <w:rFonts w:ascii="Arial" w:cs="Arial" w:eastAsia="Arial" w:hAnsi="Arial"/>
          <w:color w:val="2D2D2D"/>
          <w:sz w:val="22"/>
          <w:szCs w:val="22"/>
        </w:rPr>
        <w:t xml:space="preserve">entrega los problemas candidatos a los que se aplica este marco.</w:t>
      </w:r>
    </w:p>
    <w:p>
      <w:pPr>
        <w:pStyle w:val="ListParagraph"/>
        <w:numPr>
          <w:ilvl w:val="0"/>
          <w:numId w:val="2"/>
        </w:numPr>
        <w:spacing w:after="80" w:before="40" w:line="280"/>
      </w:pPr>
      <w:r>
        <w:rPr>
          <w:rFonts w:ascii="Arial" w:cs="Arial" w:eastAsia="Arial" w:hAnsi="Arial"/>
          <w:b/>
          <w:bCs/>
        </w:rPr>
        <w:t xml:space="preserve">Módulo 3 — Portafolio de innovación: </w:t>
      </w:r>
      <w:r>
        <w:rPr>
          <w:rFonts w:ascii="Arial" w:cs="Arial" w:eastAsia="Arial" w:hAnsi="Arial"/>
          <w:color w:val="2D2D2D"/>
          <w:sz w:val="22"/>
          <w:szCs w:val="22"/>
        </w:rPr>
        <w:t xml:space="preserve">usa la salida de este módulo para priorizar y secuenciar iniciativas.</w:t>
      </w:r>
    </w:p>
    <w:p>
      <w:pPr>
        <w:pStyle w:val="ListParagraph"/>
        <w:numPr>
          <w:ilvl w:val="0"/>
          <w:numId w:val="2"/>
        </w:numPr>
        <w:spacing w:after="80" w:before="40" w:line="280"/>
      </w:pPr>
      <w:r>
        <w:rPr>
          <w:rFonts w:ascii="Arial" w:cs="Arial" w:eastAsia="Arial" w:hAnsi="Arial"/>
          <w:b/>
          <w:bCs/>
        </w:rPr>
        <w:t xml:space="preserve">Módulo 5 — Recetas por área: </w:t>
      </w:r>
      <w:r>
        <w:rPr>
          <w:rFonts w:ascii="Arial" w:cs="Arial" w:eastAsia="Arial" w:hAnsi="Arial"/>
          <w:color w:val="2D2D2D"/>
          <w:sz w:val="22"/>
          <w:szCs w:val="22"/>
        </w:rPr>
        <w:t xml:space="preserve">aterriza la familia recomendada en patrones concretos por función (ventas, finanzas, RR.HH., etc.).</w:t>
      </w:r>
    </w:p>
    <w:p>
      <w:pPr>
        <w:pStyle w:val="ListParagraph"/>
        <w:numPr>
          <w:ilvl w:val="0"/>
          <w:numId w:val="2"/>
        </w:numPr>
        <w:spacing w:after="80" w:before="40" w:line="280"/>
      </w:pPr>
      <w:r>
        <w:rPr>
          <w:rFonts w:ascii="Arial" w:cs="Arial" w:eastAsia="Arial" w:hAnsi="Arial"/>
          <w:b/>
          <w:bCs/>
        </w:rPr>
        <w:t xml:space="preserve">Módulo 6 — Implementación: </w:t>
      </w:r>
      <w:r>
        <w:rPr>
          <w:rFonts w:ascii="Arial" w:cs="Arial" w:eastAsia="Arial" w:hAnsi="Arial"/>
          <w:color w:val="2D2D2D"/>
          <w:sz w:val="22"/>
          <w:szCs w:val="22"/>
        </w:rPr>
        <w:t xml:space="preserve">toma la decisión y la convierte en plan ejecutable con MLOps y gestión del cambio.</w:t>
      </w:r>
    </w:p>
    <w:p>
      <w:pPr>
        <w:pStyle w:val="ListParagraph"/>
        <w:numPr>
          <w:ilvl w:val="0"/>
          <w:numId w:val="2"/>
        </w:numPr>
        <w:spacing w:after="80" w:before="40" w:line="280"/>
      </w:pPr>
      <w:r>
        <w:rPr>
          <w:rFonts w:ascii="Arial" w:cs="Arial" w:eastAsia="Arial" w:hAnsi="Arial"/>
          <w:b/>
          <w:bCs/>
        </w:rPr>
        <w:t xml:space="preserve">Módulo 7 — Sostenibilidad: </w:t>
      </w:r>
      <w:r>
        <w:rPr>
          <w:rFonts w:ascii="Arial" w:cs="Arial" w:eastAsia="Arial" w:hAnsi="Arial"/>
          <w:color w:val="2D2D2D"/>
          <w:sz w:val="22"/>
          <w:szCs w:val="22"/>
        </w:rPr>
        <w:t xml:space="preserve">garantiza que la decisión siga siendo válida en producción mediante gobernanza y mejora continua.</w:t>
      </w:r>
    </w:p>
    <w:p>
      <w:pPr>
        <w:pStyle w:val="Heading2"/>
        <w:spacing w:after="160" w:before="320"/>
      </w:pPr>
      <w:r>
        <w:rPr>
          <w:rFonts w:ascii="Arial" w:cs="Arial" w:eastAsia="Arial" w:hAnsi="Arial"/>
          <w:b/>
          <w:bCs/>
          <w:color w:val="1F3A5F"/>
          <w:sz w:val="28"/>
          <w:szCs w:val="28"/>
        </w:rPr>
        <w:t xml:space="preserve">1.4  Qué cubre y qué no cubre este módulo</w:t>
      </w:r>
    </w:p>
    <w:p>
      <w:pPr>
        <w:pStyle w:val="Heading3"/>
        <w:spacing w:after="100" w:before="200"/>
      </w:pPr>
      <w:r>
        <w:rPr>
          <w:rFonts w:ascii="Arial" w:cs="Arial" w:eastAsia="Arial" w:hAnsi="Arial"/>
          <w:b/>
          <w:bCs/>
          <w:color w:val="2E75B6"/>
          <w:sz w:val="24"/>
          <w:szCs w:val="24"/>
        </w:rPr>
        <w:t xml:space="preserve">Cubre</w:t>
      </w:r>
    </w:p>
    <w:p>
      <w:pPr>
        <w:pStyle w:val="ListParagraph"/>
        <w:numPr>
          <w:ilvl w:val="0"/>
          <w:numId w:val="2"/>
        </w:numPr>
        <w:spacing w:after="80" w:before="40" w:line="280"/>
      </w:pPr>
      <w:r>
        <w:rPr>
          <w:rFonts w:ascii="Arial" w:cs="Arial" w:eastAsia="Arial" w:hAnsi="Arial"/>
          <w:color w:val="2D2D2D"/>
          <w:sz w:val="22"/>
          <w:szCs w:val="22"/>
        </w:rPr>
        <w:t xml:space="preserve">Marco de decisión entre tres familias: reglas, ML clásico y GenAI/agentes.</w:t>
      </w:r>
    </w:p>
    <w:p>
      <w:pPr>
        <w:pStyle w:val="ListParagraph"/>
        <w:numPr>
          <w:ilvl w:val="0"/>
          <w:numId w:val="2"/>
        </w:numPr>
        <w:spacing w:after="80" w:before="40" w:line="280"/>
      </w:pPr>
      <w:r>
        <w:rPr>
          <w:rFonts w:ascii="Arial" w:cs="Arial" w:eastAsia="Arial" w:hAnsi="Arial"/>
          <w:color w:val="2D2D2D"/>
          <w:sz w:val="22"/>
          <w:szCs w:val="22"/>
        </w:rPr>
        <w:t xml:space="preserve">Criterios formales, árbol de decisión, matriz de scoring y cuestionario operativo.</w:t>
      </w:r>
    </w:p>
    <w:p>
      <w:pPr>
        <w:pStyle w:val="ListParagraph"/>
        <w:numPr>
          <w:ilvl w:val="0"/>
          <w:numId w:val="2"/>
        </w:numPr>
        <w:spacing w:after="80" w:before="40" w:line="280"/>
      </w:pPr>
      <w:r>
        <w:rPr>
          <w:rFonts w:ascii="Arial" w:cs="Arial" w:eastAsia="Arial" w:hAnsi="Arial"/>
          <w:color w:val="2D2D2D"/>
          <w:sz w:val="22"/>
          <w:szCs w:val="22"/>
        </w:rPr>
        <w:t xml:space="preserve">Marco regulatorio global (GDPR, EU AI Act, NIST AI RMF, ISO 42001, OCDE).</w:t>
      </w:r>
    </w:p>
    <w:p>
      <w:pPr>
        <w:pStyle w:val="ListParagraph"/>
        <w:numPr>
          <w:ilvl w:val="0"/>
          <w:numId w:val="2"/>
        </w:numPr>
        <w:spacing w:after="80" w:before="40" w:line="280"/>
      </w:pPr>
      <w:r>
        <w:rPr>
          <w:rFonts w:ascii="Arial" w:cs="Arial" w:eastAsia="Arial" w:hAnsi="Arial"/>
          <w:color w:val="2D2D2D"/>
          <w:sz w:val="22"/>
          <w:szCs w:val="22"/>
        </w:rPr>
        <w:t xml:space="preserve">Tabla resumen de modo de adquisición (Build vs Buy vs Partner).</w:t>
      </w:r>
    </w:p>
    <w:p>
      <w:pPr>
        <w:pStyle w:val="ListParagraph"/>
        <w:numPr>
          <w:ilvl w:val="0"/>
          <w:numId w:val="2"/>
        </w:numPr>
        <w:spacing w:after="80" w:before="40" w:line="280"/>
      </w:pPr>
      <w:r>
        <w:rPr>
          <w:rFonts w:ascii="Arial" w:cs="Arial" w:eastAsia="Arial" w:hAnsi="Arial"/>
          <w:color w:val="2D2D2D"/>
          <w:sz w:val="22"/>
          <w:szCs w:val="22"/>
        </w:rPr>
        <w:t xml:space="preserve">Ejemplos hipotéticos vendor-agnósticos.</w:t>
      </w:r>
    </w:p>
    <w:p>
      <w:pPr>
        <w:pStyle w:val="Heading3"/>
        <w:spacing w:after="100" w:before="200"/>
      </w:pPr>
      <w:r>
        <w:rPr>
          <w:rFonts w:ascii="Arial" w:cs="Arial" w:eastAsia="Arial" w:hAnsi="Arial"/>
          <w:b/>
          <w:bCs/>
          <w:color w:val="2E75B6"/>
          <w:sz w:val="24"/>
          <w:szCs w:val="24"/>
        </w:rPr>
        <w:t xml:space="preserve">No cubre</w:t>
      </w:r>
    </w:p>
    <w:p>
      <w:pPr>
        <w:pStyle w:val="ListParagraph"/>
        <w:numPr>
          <w:ilvl w:val="0"/>
          <w:numId w:val="2"/>
        </w:numPr>
        <w:spacing w:after="80" w:before="40" w:line="280"/>
      </w:pPr>
      <w:r>
        <w:rPr>
          <w:rFonts w:ascii="Arial" w:cs="Arial" w:eastAsia="Arial" w:hAnsi="Arial"/>
          <w:color w:val="2D2D2D"/>
          <w:sz w:val="22"/>
          <w:szCs w:val="22"/>
        </w:rPr>
        <w:t xml:space="preserve">Detalle técnico de arquitectura (queda para Módulo 6).</w:t>
      </w:r>
    </w:p>
    <w:p>
      <w:pPr>
        <w:pStyle w:val="ListParagraph"/>
        <w:numPr>
          <w:ilvl w:val="0"/>
          <w:numId w:val="2"/>
        </w:numPr>
        <w:spacing w:after="80" w:before="40" w:line="280"/>
      </w:pPr>
      <w:r>
        <w:rPr>
          <w:rFonts w:ascii="Arial" w:cs="Arial" w:eastAsia="Arial" w:hAnsi="Arial"/>
          <w:color w:val="2D2D2D"/>
          <w:sz w:val="22"/>
          <w:szCs w:val="22"/>
        </w:rPr>
        <w:t xml:space="preserve">Comparativos de proveedores específicos: el documento es deliberadamente vendor-agnóstico.</w:t>
      </w:r>
    </w:p>
    <w:p>
      <w:pPr>
        <w:pStyle w:val="ListParagraph"/>
        <w:numPr>
          <w:ilvl w:val="0"/>
          <w:numId w:val="2"/>
        </w:numPr>
        <w:spacing w:after="80" w:before="40" w:line="280"/>
      </w:pPr>
      <w:r>
        <w:rPr>
          <w:rFonts w:ascii="Arial" w:cs="Arial" w:eastAsia="Arial" w:hAnsi="Arial"/>
          <w:color w:val="2D2D2D"/>
          <w:sz w:val="22"/>
          <w:szCs w:val="22"/>
        </w:rPr>
        <w:t xml:space="preserve">Recetas detalladas por función de negocio: viven en el Módulo 5.</w:t>
      </w:r>
    </w:p>
    <w:p>
      <w:pPr>
        <w:pStyle w:val="ListParagraph"/>
        <w:numPr>
          <w:ilvl w:val="0"/>
          <w:numId w:val="2"/>
        </w:numPr>
        <w:spacing w:after="80" w:before="40" w:line="280"/>
      </w:pPr>
      <w:r>
        <w:rPr>
          <w:rFonts w:ascii="Arial" w:cs="Arial" w:eastAsia="Arial" w:hAnsi="Arial"/>
          <w:color w:val="2D2D2D"/>
          <w:sz w:val="22"/>
          <w:szCs w:val="22"/>
        </w:rPr>
        <w:t xml:space="preserve">Estimación detallada de costos y plan de proyecto: vive en Módulos 3 y 6.</w:t>
      </w:r>
    </w:p>
    <w:p>
      <w:pPr>
        <w:pStyle w:val="Heading1"/>
        <w:pageBreakBefore/>
        <w:spacing w:after="240" w:before="480"/>
      </w:pPr>
      <w:r>
        <w:rPr>
          <w:rFonts w:ascii="Arial" w:cs="Arial" w:eastAsia="Arial" w:hAnsi="Arial"/>
          <w:b/>
          <w:bCs/>
          <w:color w:val="1F3A5F"/>
          <w:sz w:val="36"/>
          <w:szCs w:val="36"/>
        </w:rPr>
        <w:t xml:space="preserve">2. Principios rectores del marco</w:t>
      </w:r>
    </w:p>
    <w:p>
      <w:pPr>
        <w:spacing w:after="180" w:before="120" w:line="320"/>
      </w:pPr>
      <w:r>
        <w:rPr>
          <w:rFonts w:ascii="Arial" w:cs="Arial" w:eastAsia="Arial" w:hAnsi="Arial"/>
          <w:color w:val="2D2D2D"/>
          <w:sz w:val="24"/>
          <w:szCs w:val="24"/>
        </w:rPr>
        <w:t xml:space="preserve">Estos seis principios anteceden cualquier criterio técnico. Si una recomendación del marco entra en conflicto con un principio, el principio prevalece.</w:t>
      </w:r>
    </w:p>
    <w:p>
      <w:pPr>
        <w:pStyle w:val="Heading2"/>
        <w:spacing w:after="160" w:before="320"/>
      </w:pPr>
      <w:r>
        <w:rPr>
          <w:rFonts w:ascii="Arial" w:cs="Arial" w:eastAsia="Arial" w:hAnsi="Arial"/>
          <w:b/>
          <w:bCs/>
          <w:color w:val="1F3A5F"/>
          <w:sz w:val="28"/>
          <w:szCs w:val="28"/>
        </w:rPr>
        <w:t xml:space="preserve">2.1  El problema manda, no la tecnología</w:t>
      </w:r>
    </w:p>
    <w:p>
      <w:pPr>
        <w:spacing w:after="120" w:before="60" w:line="300"/>
      </w:pPr>
      <w:r>
        <w:rPr>
          <w:rFonts w:ascii="Arial" w:cs="Arial" w:eastAsia="Arial" w:hAnsi="Arial"/>
          <w:color w:val="2D2D2D"/>
          <w:sz w:val="22"/>
          <w:szCs w:val="22"/>
        </w:rPr>
        <w:t xml:space="preserve">La conversación de IA debe empezar con la descripción del problema en términos de negocio: qué se decide hoy, quién lo decide, con qué información, con qué frecuencia, con qué consecuencias del error. Solo cuando esa descripción está completa se introduce la pregunta tecnológica. Empezar al revés produce soluciones en busca de problema y, casi siempre, ROI negativo.</w:t>
      </w:r>
    </w:p>
    <w:p>
      <w:pPr>
        <w:pStyle w:val="Heading2"/>
        <w:spacing w:after="160" w:before="320"/>
      </w:pPr>
      <w:r>
        <w:rPr>
          <w:rFonts w:ascii="Arial" w:cs="Arial" w:eastAsia="Arial" w:hAnsi="Arial"/>
          <w:b/>
          <w:bCs/>
          <w:color w:val="1F3A5F"/>
          <w:sz w:val="28"/>
          <w:szCs w:val="28"/>
        </w:rPr>
        <w:t xml:space="preserve">2.2  La solución más simple que resuelve el problema gana</w:t>
      </w:r>
    </w:p>
    <w:p>
      <w:pPr>
        <w:spacing w:after="120" w:before="60" w:line="300"/>
      </w:pPr>
      <w:r>
        <w:rPr>
          <w:rFonts w:ascii="Arial" w:cs="Arial" w:eastAsia="Arial" w:hAnsi="Arial"/>
          <w:color w:val="2D2D2D"/>
          <w:sz w:val="22"/>
          <w:szCs w:val="22"/>
        </w:rPr>
        <w:t xml:space="preserve">Si un problema se resuelve con una hoja de cálculo y una regla, la respuesta correcta es una hoja de cálculo y una regla. Si se resuelve con un modelo de regresión logística, la respuesta correcta no es un LLM. La sofisticación no es un objetivo; es un costo. Cada salto de complejidad introduce nuevos riesgos operativos, regulatorios y de talento que solo se justifican si el salto entrega valor diferencial.</w:t>
      </w:r>
    </w:p>
    <w:p>
      <w:pPr>
        <w:pStyle w:val="Heading2"/>
        <w:spacing w:after="160" w:before="320"/>
      </w:pPr>
      <w:r>
        <w:rPr>
          <w:rFonts w:ascii="Arial" w:cs="Arial" w:eastAsia="Arial" w:hAnsi="Arial"/>
          <w:b/>
          <w:bCs/>
          <w:color w:val="1F3A5F"/>
          <w:sz w:val="28"/>
          <w:szCs w:val="28"/>
        </w:rPr>
        <w:t xml:space="preserve">2.3  Decisión informada por riesgo, no solo por costo</w:t>
      </w:r>
    </w:p>
    <w:p>
      <w:pPr>
        <w:spacing w:after="120" w:before="60" w:line="300"/>
      </w:pPr>
      <w:r>
        <w:rPr>
          <w:rFonts w:ascii="Arial" w:cs="Arial" w:eastAsia="Arial" w:hAnsi="Arial"/>
          <w:color w:val="2D2D2D"/>
          <w:sz w:val="22"/>
          <w:szCs w:val="22"/>
        </w:rPr>
        <w:t xml:space="preserve">Los proyectos de IA fracasan más por subestimación de riesgo que por sobreestimación de costo. Riesgo de fuga de datos, de sesgo, de incumplimiento regulatorio, de daño reputacional, de dependencia de proveedor. El marco fuerza a calificar el riesgo en cada decisión y a dejar evidencia documental de la evaluación.</w:t>
      </w:r>
    </w:p>
    <w:p>
      <w:pPr>
        <w:pStyle w:val="Heading2"/>
        <w:spacing w:after="160" w:before="320"/>
      </w:pPr>
      <w:r>
        <w:rPr>
          <w:rFonts w:ascii="Arial" w:cs="Arial" w:eastAsia="Arial" w:hAnsi="Arial"/>
          <w:b/>
          <w:bCs/>
          <w:color w:val="1F3A5F"/>
          <w:sz w:val="28"/>
          <w:szCs w:val="28"/>
        </w:rPr>
        <w:t xml:space="preserve">2.4  Reversibilidad y blast radius</w:t>
      </w:r>
    </w:p>
    <w:p>
      <w:pPr>
        <w:spacing w:after="120" w:before="60" w:line="300"/>
      </w:pPr>
      <w:r>
        <w:rPr>
          <w:rFonts w:ascii="Arial" w:cs="Arial" w:eastAsia="Arial" w:hAnsi="Arial"/>
          <w:color w:val="2D2D2D"/>
          <w:sz w:val="22"/>
          <w:szCs w:val="22"/>
        </w:rPr>
        <w:t xml:space="preserve">Las decisiones reversibles y de bajo blast radius (es decir, con poco impacto si fallan) merecen pilotos rápidos y aprendizaje en producción. Las decisiones irreversibles o de alto blast radius (decisiones automáticas que afectan clientes, decisiones regulatorias, sustitución de personas) requieren validación más estricta antes de pasar a producción y mecanismos de override humano. El criterio de reversibilidad debe ser explícito en el documento de decisión, no implícito.</w:t>
      </w:r>
    </w:p>
    <w:p>
      <w:pPr>
        <w:pStyle w:val="Heading2"/>
        <w:spacing w:after="160" w:before="320"/>
      </w:pPr>
      <w:r>
        <w:rPr>
          <w:rFonts w:ascii="Arial" w:cs="Arial" w:eastAsia="Arial" w:hAnsi="Arial"/>
          <w:b/>
          <w:bCs/>
          <w:color w:val="1F3A5F"/>
          <w:sz w:val="28"/>
          <w:szCs w:val="28"/>
        </w:rPr>
        <w:t xml:space="preserve">2.5  Datos antes que modelos</w:t>
      </w:r>
    </w:p>
    <w:p>
      <w:pPr>
        <w:spacing w:after="120" w:before="60" w:line="300"/>
      </w:pPr>
      <w:r>
        <w:rPr>
          <w:rFonts w:ascii="Arial" w:cs="Arial" w:eastAsia="Arial" w:hAnsi="Arial"/>
          <w:color w:val="2D2D2D"/>
          <w:sz w:val="22"/>
          <w:szCs w:val="22"/>
        </w:rPr>
        <w:t xml:space="preserve">Ningún modelo, por sofisticado que sea, supera la calidad de los datos con los que se entrena o con los que se le consulta. Antes de discutir modelos, el marco exige verificar: existencia de los datos, accesibilidad legal y técnica, calidad mínima aceptable, cobertura del fenómeno y trazabilidad. Si los datos no están listos, la decisión correcta suele ser invertir primero en datos y volver a consultar el marco después.</w:t>
      </w:r>
    </w:p>
    <w:p>
      <w:pPr>
        <w:pStyle w:val="Heading2"/>
        <w:spacing w:after="160" w:before="320"/>
      </w:pPr>
      <w:r>
        <w:rPr>
          <w:rFonts w:ascii="Arial" w:cs="Arial" w:eastAsia="Arial" w:hAnsi="Arial"/>
          <w:b/>
          <w:bCs/>
          <w:color w:val="1F3A5F"/>
          <w:sz w:val="28"/>
          <w:szCs w:val="28"/>
        </w:rPr>
        <w:t xml:space="preserve">2.6  Explicabilidad proporcional al riesgo</w:t>
      </w:r>
    </w:p>
    <w:p>
      <w:pPr>
        <w:spacing w:after="120" w:before="60" w:line="300"/>
      </w:pPr>
      <w:r>
        <w:rPr>
          <w:rFonts w:ascii="Arial" w:cs="Arial" w:eastAsia="Arial" w:hAnsi="Arial"/>
          <w:color w:val="2D2D2D"/>
          <w:sz w:val="22"/>
          <w:szCs w:val="22"/>
        </w:rPr>
        <w:t xml:space="preserve">La exigencia de explicabilidad debe ser proporcional al impacto de la decisión y a la regulación aplicable. Una recomendación de productos en e-commerce tolera un modelo opaco; una decisión crediticia, sanitaria o de selección de personal exige que la decisión pueda explicarse y auditarse. El marco contempla este eje de manera explícita en los criterios de decisión y en el árbol.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F7F9FB" w:val="clear"/>
            <w:tcMar>
              <w:top w:type="dxa" w:w="160"/>
              <w:left w:type="dxa" w:w="200"/>
              <w:bottom w:type="dxa" w:w="160"/>
              <w:right w:type="dxa" w:w="200"/>
            </w:tcMar>
          </w:tcPr>
          <w:p>
            <w:pPr>
              <w:spacing w:after="80" w:before="0"/>
            </w:pPr>
            <w:r>
              <w:rPr>
                <w:rFonts w:ascii="Arial" w:cs="Arial" w:eastAsia="Arial" w:hAnsi="Arial"/>
                <w:b/>
                <w:bCs/>
                <w:color w:val="2E75B6"/>
                <w:sz w:val="22"/>
                <w:szCs w:val="22"/>
              </w:rPr>
              <w:t xml:space="preserve">Cómo aplicar estos principios</w:t>
            </w:r>
          </w:p>
          <w:p>
            <w:pPr>
              <w:spacing w:after="0" w:before="0" w:line="280"/>
            </w:pPr>
            <w:r>
              <w:rPr>
                <w:rFonts w:ascii="Arial" w:cs="Arial" w:eastAsia="Arial" w:hAnsi="Arial"/>
                <w:color w:val="2D2D2D"/>
                <w:sz w:val="22"/>
                <w:szCs w:val="22"/>
              </w:rPr>
              <w:t xml:space="preserve">En cada uso del marco se debe registrar, por escrito, cómo se honraron los seis principios. La trazabilidad de la decisión es tan importante como la decisión misma, especialmente bajo regímenes regulatorios como EU AI Act, ISO 42001 o NIST AI RMF.</w:t>
            </w:r>
          </w:p>
        </w:tc>
      </w:tr>
    </w:tbl>
    <w:p>
      <w:pPr>
        <w:pStyle w:val="Heading1"/>
        <w:pageBreakBefore/>
        <w:spacing w:after="240" w:before="480"/>
      </w:pPr>
      <w:r>
        <w:rPr>
          <w:rFonts w:ascii="Arial" w:cs="Arial" w:eastAsia="Arial" w:hAnsi="Arial"/>
          <w:b/>
          <w:bCs/>
          <w:color w:val="1F3A5F"/>
          <w:sz w:val="36"/>
          <w:szCs w:val="36"/>
        </w:rPr>
        <w:t xml:space="preserve">3. Las tres familias de IA: cuándo conviene cada una</w:t>
      </w:r>
    </w:p>
    <w:p>
      <w:pPr>
        <w:spacing w:after="180" w:before="120" w:line="320"/>
      </w:pPr>
      <w:r>
        <w:rPr>
          <w:rFonts w:ascii="Arial" w:cs="Arial" w:eastAsia="Arial" w:hAnsi="Arial"/>
          <w:color w:val="2D2D2D"/>
          <w:sz w:val="24"/>
          <w:szCs w:val="24"/>
        </w:rPr>
        <w:t xml:space="preserve">El marco trabaja con tres familias deliberadamente amplias. La elección final dentro de cada familia (qué algoritmo, qué arquitectura, qué proveedor) es responsabilidad de la fase de implementación; este documento se detiene en el nivel de familia para preservar su vigencia y para mantener la conversación en términos accionables para el negocio.</w:t>
      </w:r>
    </w:p>
    <w:p>
      <w:pPr>
        <w:pStyle w:val="Heading2"/>
        <w:spacing w:after="160" w:before="320"/>
      </w:pPr>
      <w:r>
        <w:rPr>
          <w:rFonts w:ascii="Arial" w:cs="Arial" w:eastAsia="Arial" w:hAnsi="Arial"/>
          <w:b/>
          <w:bCs/>
          <w:color w:val="1F3A5F"/>
          <w:sz w:val="28"/>
          <w:szCs w:val="28"/>
        </w:rPr>
        <w:t xml:space="preserve">3.1  Familia A — Reglas y automatización clásica</w:t>
      </w:r>
    </w:p>
    <w:p>
      <w:pPr>
        <w:pStyle w:val="Heading3"/>
        <w:spacing w:after="100" w:before="200"/>
      </w:pPr>
      <w:r>
        <w:rPr>
          <w:rFonts w:ascii="Arial" w:cs="Arial" w:eastAsia="Arial" w:hAnsi="Arial"/>
          <w:b/>
          <w:bCs/>
          <w:color w:val="2E75B6"/>
          <w:sz w:val="24"/>
          <w:szCs w:val="24"/>
        </w:rPr>
        <w:t xml:space="preserve">Qué incluye</w:t>
      </w:r>
    </w:p>
    <w:p>
      <w:pPr>
        <w:pStyle w:val="ListParagraph"/>
        <w:numPr>
          <w:ilvl w:val="0"/>
          <w:numId w:val="2"/>
        </w:numPr>
        <w:spacing w:after="80" w:before="40" w:line="280"/>
      </w:pPr>
      <w:r>
        <w:rPr>
          <w:rFonts w:ascii="Arial" w:cs="Arial" w:eastAsia="Arial" w:hAnsi="Arial"/>
          <w:color w:val="2D2D2D"/>
          <w:sz w:val="22"/>
          <w:szCs w:val="22"/>
        </w:rPr>
        <w:t xml:space="preserve">Motores de reglas de negocio (BRE), tablas de decisión, sistemas expertos.</w:t>
      </w:r>
    </w:p>
    <w:p>
      <w:pPr>
        <w:pStyle w:val="ListParagraph"/>
        <w:numPr>
          <w:ilvl w:val="0"/>
          <w:numId w:val="2"/>
        </w:numPr>
        <w:spacing w:after="80" w:before="40" w:line="280"/>
      </w:pPr>
      <w:r>
        <w:rPr>
          <w:rFonts w:ascii="Arial" w:cs="Arial" w:eastAsia="Arial" w:hAnsi="Arial"/>
          <w:color w:val="2D2D2D"/>
          <w:sz w:val="22"/>
          <w:szCs w:val="22"/>
        </w:rPr>
        <w:t xml:space="preserve">Automatización robótica de procesos (RPA) e iPaaS para integración.</w:t>
      </w:r>
    </w:p>
    <w:p>
      <w:pPr>
        <w:pStyle w:val="ListParagraph"/>
        <w:numPr>
          <w:ilvl w:val="0"/>
          <w:numId w:val="2"/>
        </w:numPr>
        <w:spacing w:after="80" w:before="40" w:line="280"/>
      </w:pPr>
      <w:r>
        <w:rPr>
          <w:rFonts w:ascii="Arial" w:cs="Arial" w:eastAsia="Arial" w:hAnsi="Arial"/>
          <w:color w:val="2D2D2D"/>
          <w:sz w:val="22"/>
          <w:szCs w:val="22"/>
        </w:rPr>
        <w:t xml:space="preserve">Workflows BPM con orquestación determinística.</w:t>
      </w:r>
    </w:p>
    <w:p>
      <w:pPr>
        <w:pStyle w:val="ListParagraph"/>
        <w:numPr>
          <w:ilvl w:val="0"/>
          <w:numId w:val="2"/>
        </w:numPr>
        <w:spacing w:after="80" w:before="40" w:line="280"/>
      </w:pPr>
      <w:r>
        <w:rPr>
          <w:rFonts w:ascii="Arial" w:cs="Arial" w:eastAsia="Arial" w:hAnsi="Arial"/>
          <w:color w:val="2D2D2D"/>
          <w:sz w:val="22"/>
          <w:szCs w:val="22"/>
        </w:rPr>
        <w:t xml:space="preserve">Validadores, parsers, OCR estructurado, scripting deterministico.</w:t>
      </w:r>
    </w:p>
    <w:p>
      <w:pPr>
        <w:pStyle w:val="Heading3"/>
        <w:spacing w:after="100" w:before="200"/>
      </w:pPr>
      <w:r>
        <w:rPr>
          <w:rFonts w:ascii="Arial" w:cs="Arial" w:eastAsia="Arial" w:hAnsi="Arial"/>
          <w:b/>
          <w:bCs/>
          <w:color w:val="2E75B6"/>
          <w:sz w:val="24"/>
          <w:szCs w:val="24"/>
        </w:rPr>
        <w:t xml:space="preserve">Cuándo es la elección correcta</w:t>
      </w:r>
    </w:p>
    <w:p>
      <w:pPr>
        <w:spacing w:after="120" w:before="60" w:line="300"/>
      </w:pPr>
      <w:r>
        <w:rPr>
          <w:rFonts w:ascii="Arial" w:cs="Arial" w:eastAsia="Arial" w:hAnsi="Arial"/>
          <w:color w:val="2D2D2D"/>
          <w:sz w:val="22"/>
          <w:szCs w:val="22"/>
        </w:rPr>
        <w:t xml:space="preserve">La familia A gana cuando el problema es estructurado, las reglas son conocidas y estables, los datos son tabulares y limpios, y la consecuencia del error obliga a decisiones determinísticas. Es la opción correcta para validaciones de cumplimiento, ruteo de documentos por reglas claras, automatización de procesos repetitivos sin variabilidad significativa, integración de sistemas y conciliaciones contables.</w:t>
      </w:r>
    </w:p>
    <w:p>
      <w:pPr>
        <w:pStyle w:val="Heading3"/>
        <w:spacing w:after="100" w:before="200"/>
      </w:pPr>
      <w:r>
        <w:rPr>
          <w:rFonts w:ascii="Arial" w:cs="Arial" w:eastAsia="Arial" w:hAnsi="Arial"/>
          <w:b/>
          <w:bCs/>
          <w:color w:val="2E75B6"/>
          <w:sz w:val="24"/>
          <w:szCs w:val="24"/>
        </w:rPr>
        <w:t xml:space="preserve">Fortalezas</w:t>
      </w:r>
    </w:p>
    <w:p>
      <w:pPr>
        <w:pStyle w:val="ListParagraph"/>
        <w:numPr>
          <w:ilvl w:val="0"/>
          <w:numId w:val="2"/>
        </w:numPr>
        <w:spacing w:after="80" w:before="40" w:line="280"/>
      </w:pPr>
      <w:r>
        <w:rPr>
          <w:rFonts w:ascii="Arial" w:cs="Arial" w:eastAsia="Arial" w:hAnsi="Arial"/>
          <w:color w:val="2D2D2D"/>
          <w:sz w:val="22"/>
          <w:szCs w:val="22"/>
        </w:rPr>
        <w:t xml:space="preserve">Determinismo absoluto: la misma entrada produce la misma salida.</w:t>
      </w:r>
    </w:p>
    <w:p>
      <w:pPr>
        <w:pStyle w:val="ListParagraph"/>
        <w:numPr>
          <w:ilvl w:val="0"/>
          <w:numId w:val="2"/>
        </w:numPr>
        <w:spacing w:after="80" w:before="40" w:line="280"/>
      </w:pPr>
      <w:r>
        <w:rPr>
          <w:rFonts w:ascii="Arial" w:cs="Arial" w:eastAsia="Arial" w:hAnsi="Arial"/>
          <w:color w:val="2D2D2D"/>
          <w:sz w:val="22"/>
          <w:szCs w:val="22"/>
        </w:rPr>
        <w:t xml:space="preserve">Trazabilidad y auditabilidad nativas; cada decisión deja huella inspectable.</w:t>
      </w:r>
    </w:p>
    <w:p>
      <w:pPr>
        <w:pStyle w:val="ListParagraph"/>
        <w:numPr>
          <w:ilvl w:val="0"/>
          <w:numId w:val="2"/>
        </w:numPr>
        <w:spacing w:after="80" w:before="40" w:line="280"/>
      </w:pPr>
      <w:r>
        <w:rPr>
          <w:rFonts w:ascii="Arial" w:cs="Arial" w:eastAsia="Arial" w:hAnsi="Arial"/>
          <w:color w:val="2D2D2D"/>
          <w:sz w:val="22"/>
          <w:szCs w:val="22"/>
        </w:rPr>
        <w:t xml:space="preserve">Costo predecible y bajo en operación.</w:t>
      </w:r>
    </w:p>
    <w:p>
      <w:pPr>
        <w:pStyle w:val="ListParagraph"/>
        <w:numPr>
          <w:ilvl w:val="0"/>
          <w:numId w:val="2"/>
        </w:numPr>
        <w:spacing w:after="80" w:before="40" w:line="280"/>
      </w:pPr>
      <w:r>
        <w:rPr>
          <w:rFonts w:ascii="Arial" w:cs="Arial" w:eastAsia="Arial" w:hAnsi="Arial"/>
          <w:color w:val="2D2D2D"/>
          <w:sz w:val="22"/>
          <w:szCs w:val="22"/>
        </w:rPr>
        <w:t xml:space="preserve">Tiempo de implementación corto, sin necesidad de talento de ciencia de datos.</w:t>
      </w:r>
    </w:p>
    <w:p>
      <w:pPr>
        <w:pStyle w:val="Heading3"/>
        <w:spacing w:after="100" w:before="200"/>
      </w:pPr>
      <w:r>
        <w:rPr>
          <w:rFonts w:ascii="Arial" w:cs="Arial" w:eastAsia="Arial" w:hAnsi="Arial"/>
          <w:b/>
          <w:bCs/>
          <w:color w:val="2E75B6"/>
          <w:sz w:val="24"/>
          <w:szCs w:val="24"/>
        </w:rPr>
        <w:t xml:space="preserve">Debilidades y riesgos</w:t>
      </w:r>
    </w:p>
    <w:p>
      <w:pPr>
        <w:pStyle w:val="ListParagraph"/>
        <w:numPr>
          <w:ilvl w:val="0"/>
          <w:numId w:val="2"/>
        </w:numPr>
        <w:spacing w:after="80" w:before="40" w:line="280"/>
      </w:pPr>
      <w:r>
        <w:rPr>
          <w:rFonts w:ascii="Arial" w:cs="Arial" w:eastAsia="Arial" w:hAnsi="Arial"/>
          <w:color w:val="2D2D2D"/>
          <w:sz w:val="22"/>
          <w:szCs w:val="22"/>
        </w:rPr>
        <w:t xml:space="preserve">Mantenimiento de reglas: cuando crecen, se vuelven inmanejables ("infierno de reglas").</w:t>
      </w:r>
    </w:p>
    <w:p>
      <w:pPr>
        <w:pStyle w:val="ListParagraph"/>
        <w:numPr>
          <w:ilvl w:val="0"/>
          <w:numId w:val="2"/>
        </w:numPr>
        <w:spacing w:after="80" w:before="40" w:line="280"/>
      </w:pPr>
      <w:r>
        <w:rPr>
          <w:rFonts w:ascii="Arial" w:cs="Arial" w:eastAsia="Arial" w:hAnsi="Arial"/>
          <w:color w:val="2D2D2D"/>
          <w:sz w:val="22"/>
          <w:szCs w:val="22"/>
        </w:rPr>
        <w:t xml:space="preserve">Mala adaptación a problemas con variabilidad o ambigüedad.</w:t>
      </w:r>
    </w:p>
    <w:p>
      <w:pPr>
        <w:pStyle w:val="ListParagraph"/>
        <w:numPr>
          <w:ilvl w:val="0"/>
          <w:numId w:val="2"/>
        </w:numPr>
        <w:spacing w:after="80" w:before="40" w:line="280"/>
      </w:pPr>
      <w:r>
        <w:rPr>
          <w:rFonts w:ascii="Arial" w:cs="Arial" w:eastAsia="Arial" w:hAnsi="Arial"/>
          <w:color w:val="2D2D2D"/>
          <w:sz w:val="22"/>
          <w:szCs w:val="22"/>
        </w:rPr>
        <w:t xml:space="preserve">No aprende: cualquier cambio en el fenómeno requiere intervención humana.</w:t>
      </w:r>
    </w:p>
    <w:p>
      <w:pPr>
        <w:pStyle w:val="Heading2"/>
        <w:spacing w:after="160" w:before="320"/>
      </w:pPr>
      <w:r>
        <w:rPr>
          <w:rFonts w:ascii="Arial" w:cs="Arial" w:eastAsia="Arial" w:hAnsi="Arial"/>
          <w:b/>
          <w:bCs/>
          <w:color w:val="1F3A5F"/>
          <w:sz w:val="28"/>
          <w:szCs w:val="28"/>
        </w:rPr>
        <w:t xml:space="preserve">3.2  Familia B — Machine Learning supervisado y no supervisado</w:t>
      </w:r>
    </w:p>
    <w:p>
      <w:pPr>
        <w:pStyle w:val="Heading3"/>
        <w:spacing w:after="100" w:before="200"/>
      </w:pPr>
      <w:r>
        <w:rPr>
          <w:rFonts w:ascii="Arial" w:cs="Arial" w:eastAsia="Arial" w:hAnsi="Arial"/>
          <w:b/>
          <w:bCs/>
          <w:color w:val="2E75B6"/>
          <w:sz w:val="24"/>
          <w:szCs w:val="24"/>
        </w:rPr>
        <w:t xml:space="preserve">Qué incluye</w:t>
      </w:r>
    </w:p>
    <w:p>
      <w:pPr>
        <w:pStyle w:val="ListParagraph"/>
        <w:numPr>
          <w:ilvl w:val="0"/>
          <w:numId w:val="2"/>
        </w:numPr>
        <w:spacing w:after="80" w:before="40" w:line="280"/>
      </w:pPr>
      <w:r>
        <w:rPr>
          <w:rFonts w:ascii="Arial" w:cs="Arial" w:eastAsia="Arial" w:hAnsi="Arial"/>
          <w:color w:val="2D2D2D"/>
          <w:sz w:val="22"/>
          <w:szCs w:val="22"/>
        </w:rPr>
        <w:t xml:space="preserve">ML supervisado: clasificación, regresión, ranking, scoring (regresión logística, gradient boosting, random forest, redes neuronales tabulares).</w:t>
      </w:r>
    </w:p>
    <w:p>
      <w:pPr>
        <w:pStyle w:val="ListParagraph"/>
        <w:numPr>
          <w:ilvl w:val="0"/>
          <w:numId w:val="2"/>
        </w:numPr>
        <w:spacing w:after="80" w:before="40" w:line="280"/>
      </w:pPr>
      <w:r>
        <w:rPr>
          <w:rFonts w:ascii="Arial" w:cs="Arial" w:eastAsia="Arial" w:hAnsi="Arial"/>
          <w:color w:val="2D2D2D"/>
          <w:sz w:val="22"/>
          <w:szCs w:val="22"/>
        </w:rPr>
        <w:t xml:space="preserve">ML no supervisado: clustering, segmentación, detección de anomalías, reducción de dimensionalidad.</w:t>
      </w:r>
    </w:p>
    <w:p>
      <w:pPr>
        <w:pStyle w:val="ListParagraph"/>
        <w:numPr>
          <w:ilvl w:val="0"/>
          <w:numId w:val="2"/>
        </w:numPr>
        <w:spacing w:after="80" w:before="40" w:line="280"/>
      </w:pPr>
      <w:r>
        <w:rPr>
          <w:rFonts w:ascii="Arial" w:cs="Arial" w:eastAsia="Arial" w:hAnsi="Arial"/>
          <w:color w:val="2D2D2D"/>
          <w:sz w:val="22"/>
          <w:szCs w:val="22"/>
        </w:rPr>
        <w:t xml:space="preserve">Forecasting de series de tiempo (ARIMA, Prophet, modelos basados en gradient boosting).</w:t>
      </w:r>
    </w:p>
    <w:p>
      <w:pPr>
        <w:pStyle w:val="ListParagraph"/>
        <w:numPr>
          <w:ilvl w:val="0"/>
          <w:numId w:val="2"/>
        </w:numPr>
        <w:spacing w:after="80" w:before="40" w:line="280"/>
      </w:pPr>
      <w:r>
        <w:rPr>
          <w:rFonts w:ascii="Arial" w:cs="Arial" w:eastAsia="Arial" w:hAnsi="Arial"/>
          <w:color w:val="2D2D2D"/>
          <w:sz w:val="22"/>
          <w:szCs w:val="22"/>
        </w:rPr>
        <w:t xml:space="preserve">Sistemas de recomendación clásicos.</w:t>
      </w:r>
    </w:p>
    <w:p>
      <w:pPr>
        <w:pStyle w:val="Heading3"/>
        <w:spacing w:after="100" w:before="200"/>
      </w:pPr>
      <w:r>
        <w:rPr>
          <w:rFonts w:ascii="Arial" w:cs="Arial" w:eastAsia="Arial" w:hAnsi="Arial"/>
          <w:b/>
          <w:bCs/>
          <w:color w:val="2E75B6"/>
          <w:sz w:val="24"/>
          <w:szCs w:val="24"/>
        </w:rPr>
        <w:t xml:space="preserve">Cuándo es la elección correcta</w:t>
      </w:r>
    </w:p>
    <w:p>
      <w:pPr>
        <w:spacing w:after="120" w:before="60" w:line="300"/>
      </w:pPr>
      <w:r>
        <w:rPr>
          <w:rFonts w:ascii="Arial" w:cs="Arial" w:eastAsia="Arial" w:hAnsi="Arial"/>
          <w:color w:val="2D2D2D"/>
          <w:sz w:val="22"/>
          <w:szCs w:val="22"/>
        </w:rPr>
        <w:t xml:space="preserve">La familia B gana cuando existe un volumen razonable de datos históricos representativos, los patrones son repetibles, y la pregunta es predictiva o de segmentación. Es la elección típica para predicción de demanda, detección de fraude, predicción de churn, scoring crediticio, mantenimiento predictivo, segmentación de clientes y propensión a compra.</w:t>
      </w:r>
    </w:p>
    <w:p>
      <w:pPr>
        <w:pStyle w:val="Heading3"/>
        <w:spacing w:after="100" w:before="200"/>
      </w:pPr>
      <w:r>
        <w:rPr>
          <w:rFonts w:ascii="Arial" w:cs="Arial" w:eastAsia="Arial" w:hAnsi="Arial"/>
          <w:b/>
          <w:bCs/>
          <w:color w:val="2E75B6"/>
          <w:sz w:val="24"/>
          <w:szCs w:val="24"/>
        </w:rPr>
        <w:t xml:space="preserve">Fortalezas</w:t>
      </w:r>
    </w:p>
    <w:p>
      <w:pPr>
        <w:pStyle w:val="ListParagraph"/>
        <w:numPr>
          <w:ilvl w:val="0"/>
          <w:numId w:val="2"/>
        </w:numPr>
        <w:spacing w:after="80" w:before="40" w:line="280"/>
      </w:pPr>
      <w:r>
        <w:rPr>
          <w:rFonts w:ascii="Arial" w:cs="Arial" w:eastAsia="Arial" w:hAnsi="Arial"/>
          <w:color w:val="2D2D2D"/>
          <w:sz w:val="22"/>
          <w:szCs w:val="22"/>
        </w:rPr>
        <w:t xml:space="preserve">Captura patrones que ningún humano podría codificar como reglas.</w:t>
      </w:r>
    </w:p>
    <w:p>
      <w:pPr>
        <w:pStyle w:val="ListParagraph"/>
        <w:numPr>
          <w:ilvl w:val="0"/>
          <w:numId w:val="2"/>
        </w:numPr>
        <w:spacing w:after="80" w:before="40" w:line="280"/>
      </w:pPr>
      <w:r>
        <w:rPr>
          <w:rFonts w:ascii="Arial" w:cs="Arial" w:eastAsia="Arial" w:hAnsi="Arial"/>
          <w:color w:val="2D2D2D"/>
          <w:sz w:val="22"/>
          <w:szCs w:val="22"/>
        </w:rPr>
        <w:t xml:space="preserve">Escala bien con el volumen de datos: más datos, mejor modelo (hasta un punto).</w:t>
      </w:r>
    </w:p>
    <w:p>
      <w:pPr>
        <w:pStyle w:val="ListParagraph"/>
        <w:numPr>
          <w:ilvl w:val="0"/>
          <w:numId w:val="2"/>
        </w:numPr>
        <w:spacing w:after="80" w:before="40" w:line="280"/>
      </w:pPr>
      <w:r>
        <w:rPr>
          <w:rFonts w:ascii="Arial" w:cs="Arial" w:eastAsia="Arial" w:hAnsi="Arial"/>
          <w:color w:val="2D2D2D"/>
          <w:sz w:val="22"/>
          <w:szCs w:val="22"/>
        </w:rPr>
        <w:t xml:space="preserve">Familias maduras de modelos como gradient boosting ofrecen explicabilidad razonable.</w:t>
      </w:r>
    </w:p>
    <w:p>
      <w:pPr>
        <w:pStyle w:val="ListParagraph"/>
        <w:numPr>
          <w:ilvl w:val="0"/>
          <w:numId w:val="2"/>
        </w:numPr>
        <w:spacing w:after="80" w:before="40" w:line="280"/>
      </w:pPr>
      <w:r>
        <w:rPr>
          <w:rFonts w:ascii="Arial" w:cs="Arial" w:eastAsia="Arial" w:hAnsi="Arial"/>
          <w:color w:val="2D2D2D"/>
          <w:sz w:val="22"/>
          <w:szCs w:val="22"/>
        </w:rPr>
        <w:t xml:space="preserve">Madurez operativa alta: existen prácticas establecidas de MLOps, monitoreo y reentrenamiento.</w:t>
      </w:r>
    </w:p>
    <w:p>
      <w:pPr>
        <w:pStyle w:val="Heading3"/>
        <w:spacing w:after="100" w:before="200"/>
      </w:pPr>
      <w:r>
        <w:rPr>
          <w:rFonts w:ascii="Arial" w:cs="Arial" w:eastAsia="Arial" w:hAnsi="Arial"/>
          <w:b/>
          <w:bCs/>
          <w:color w:val="2E75B6"/>
          <w:sz w:val="24"/>
          <w:szCs w:val="24"/>
        </w:rPr>
        <w:t xml:space="preserve">Debilidades y riesgos</w:t>
      </w:r>
    </w:p>
    <w:p>
      <w:pPr>
        <w:pStyle w:val="ListParagraph"/>
        <w:numPr>
          <w:ilvl w:val="0"/>
          <w:numId w:val="2"/>
        </w:numPr>
        <w:spacing w:after="80" w:before="40" w:line="280"/>
      </w:pPr>
      <w:r>
        <w:rPr>
          <w:rFonts w:ascii="Arial" w:cs="Arial" w:eastAsia="Arial" w:hAnsi="Arial"/>
          <w:color w:val="2D2D2D"/>
          <w:sz w:val="22"/>
          <w:szCs w:val="22"/>
        </w:rPr>
        <w:t xml:space="preserve">Requiere datos etiquetados de calidad, lo cual suele ser el cuello de botella.</w:t>
      </w:r>
    </w:p>
    <w:p>
      <w:pPr>
        <w:pStyle w:val="ListParagraph"/>
        <w:numPr>
          <w:ilvl w:val="0"/>
          <w:numId w:val="2"/>
        </w:numPr>
        <w:spacing w:after="80" w:before="40" w:line="280"/>
      </w:pPr>
      <w:r>
        <w:rPr>
          <w:rFonts w:ascii="Arial" w:cs="Arial" w:eastAsia="Arial" w:hAnsi="Arial"/>
          <w:color w:val="2D2D2D"/>
          <w:sz w:val="22"/>
          <w:szCs w:val="22"/>
        </w:rPr>
        <w:t xml:space="preserve">Modelos complejos pueden ser opacos; explicabilidad debe diseñarse, no se da gratis.</w:t>
      </w:r>
    </w:p>
    <w:p>
      <w:pPr>
        <w:pStyle w:val="ListParagraph"/>
        <w:numPr>
          <w:ilvl w:val="0"/>
          <w:numId w:val="2"/>
        </w:numPr>
        <w:spacing w:after="80" w:before="40" w:line="280"/>
      </w:pPr>
      <w:r>
        <w:rPr>
          <w:rFonts w:ascii="Arial" w:cs="Arial" w:eastAsia="Arial" w:hAnsi="Arial"/>
          <w:color w:val="2D2D2D"/>
          <w:sz w:val="22"/>
          <w:szCs w:val="22"/>
        </w:rPr>
        <w:t xml:space="preserve">Drift: el modelo se degrada cuando cambia el fenómeno, exige monitoreo continuo.</w:t>
      </w:r>
    </w:p>
    <w:p>
      <w:pPr>
        <w:pStyle w:val="ListParagraph"/>
        <w:numPr>
          <w:ilvl w:val="0"/>
          <w:numId w:val="2"/>
        </w:numPr>
        <w:spacing w:after="80" w:before="40" w:line="280"/>
      </w:pPr>
      <w:r>
        <w:rPr>
          <w:rFonts w:ascii="Arial" w:cs="Arial" w:eastAsia="Arial" w:hAnsi="Arial"/>
          <w:color w:val="2D2D2D"/>
          <w:sz w:val="22"/>
          <w:szCs w:val="22"/>
        </w:rPr>
        <w:t xml:space="preserve">Sesgos heredados de los datos pueden reproducirse y amplificarse.</w:t>
      </w:r>
    </w:p>
    <w:p>
      <w:pPr>
        <w:pStyle w:val="Heading2"/>
        <w:spacing w:after="160" w:before="320"/>
      </w:pPr>
      <w:r>
        <w:rPr>
          <w:rFonts w:ascii="Arial" w:cs="Arial" w:eastAsia="Arial" w:hAnsi="Arial"/>
          <w:b/>
          <w:bCs/>
          <w:color w:val="1F3A5F"/>
          <w:sz w:val="28"/>
          <w:szCs w:val="28"/>
        </w:rPr>
        <w:t xml:space="preserve">3.3  Familia C — LLMs, IA generativa y agentes</w:t>
      </w:r>
    </w:p>
    <w:p>
      <w:pPr>
        <w:pStyle w:val="Heading3"/>
        <w:spacing w:after="100" w:before="200"/>
      </w:pPr>
      <w:r>
        <w:rPr>
          <w:rFonts w:ascii="Arial" w:cs="Arial" w:eastAsia="Arial" w:hAnsi="Arial"/>
          <w:b/>
          <w:bCs/>
          <w:color w:val="2E75B6"/>
          <w:sz w:val="24"/>
          <w:szCs w:val="24"/>
        </w:rPr>
        <w:t xml:space="preserve">Qué incluye</w:t>
      </w:r>
    </w:p>
    <w:p>
      <w:pPr>
        <w:pStyle w:val="ListParagraph"/>
        <w:numPr>
          <w:ilvl w:val="0"/>
          <w:numId w:val="2"/>
        </w:numPr>
        <w:spacing w:after="80" w:before="40" w:line="280"/>
      </w:pPr>
      <w:r>
        <w:rPr>
          <w:rFonts w:ascii="Arial" w:cs="Arial" w:eastAsia="Arial" w:hAnsi="Arial"/>
          <w:color w:val="2D2D2D"/>
          <w:sz w:val="22"/>
          <w:szCs w:val="22"/>
        </w:rPr>
        <w:t xml:space="preserve">Modelos fundacionales de lenguaje (LLMs): generación, comprensión, razonamiento.</w:t>
      </w:r>
    </w:p>
    <w:p>
      <w:pPr>
        <w:pStyle w:val="ListParagraph"/>
        <w:numPr>
          <w:ilvl w:val="0"/>
          <w:numId w:val="2"/>
        </w:numPr>
        <w:spacing w:after="80" w:before="40" w:line="280"/>
      </w:pPr>
      <w:r>
        <w:rPr>
          <w:rFonts w:ascii="Arial" w:cs="Arial" w:eastAsia="Arial" w:hAnsi="Arial"/>
          <w:color w:val="2D2D2D"/>
          <w:sz w:val="22"/>
          <w:szCs w:val="22"/>
        </w:rPr>
        <w:t xml:space="preserve">Modelos generativos multimodales: imagen, voz, video, código.</w:t>
      </w:r>
    </w:p>
    <w:p>
      <w:pPr>
        <w:pStyle w:val="ListParagraph"/>
        <w:numPr>
          <w:ilvl w:val="0"/>
          <w:numId w:val="2"/>
        </w:numPr>
        <w:spacing w:after="80" w:before="40" w:line="280"/>
      </w:pPr>
      <w:r>
        <w:rPr>
          <w:rFonts w:ascii="Arial" w:cs="Arial" w:eastAsia="Arial" w:hAnsi="Arial"/>
          <w:color w:val="2D2D2D"/>
          <w:sz w:val="22"/>
          <w:szCs w:val="22"/>
        </w:rPr>
        <w:t xml:space="preserve">Recuperación aumentada por generación (RAG) sobre bases documentales.</w:t>
      </w:r>
    </w:p>
    <w:p>
      <w:pPr>
        <w:pStyle w:val="ListParagraph"/>
        <w:numPr>
          <w:ilvl w:val="0"/>
          <w:numId w:val="2"/>
        </w:numPr>
        <w:spacing w:after="80" w:before="40" w:line="280"/>
      </w:pPr>
      <w:r>
        <w:rPr>
          <w:rFonts w:ascii="Arial" w:cs="Arial" w:eastAsia="Arial" w:hAnsi="Arial"/>
          <w:color w:val="2D2D2D"/>
          <w:sz w:val="22"/>
          <w:szCs w:val="22"/>
        </w:rPr>
        <w:t xml:space="preserve">Fine-tuning ligero (LoRA, instrucción) para especialización.</w:t>
      </w:r>
    </w:p>
    <w:p>
      <w:pPr>
        <w:pStyle w:val="ListParagraph"/>
        <w:numPr>
          <w:ilvl w:val="0"/>
          <w:numId w:val="2"/>
        </w:numPr>
        <w:spacing w:after="80" w:before="40" w:line="280"/>
      </w:pPr>
      <w:r>
        <w:rPr>
          <w:rFonts w:ascii="Arial" w:cs="Arial" w:eastAsia="Arial" w:hAnsi="Arial"/>
          <w:color w:val="2D2D2D"/>
          <w:sz w:val="22"/>
          <w:szCs w:val="22"/>
        </w:rPr>
        <w:t xml:space="preserve">Agentes autónomos que orquestan herramientas y ejecutan tareas multi-paso.</w:t>
      </w:r>
    </w:p>
    <w:p>
      <w:pPr>
        <w:pStyle w:val="Heading3"/>
        <w:spacing w:after="100" w:before="200"/>
      </w:pPr>
      <w:r>
        <w:rPr>
          <w:rFonts w:ascii="Arial" w:cs="Arial" w:eastAsia="Arial" w:hAnsi="Arial"/>
          <w:b/>
          <w:bCs/>
          <w:color w:val="2E75B6"/>
          <w:sz w:val="24"/>
          <w:szCs w:val="24"/>
        </w:rPr>
        <w:t xml:space="preserve">Cuándo es la elección correcta</w:t>
      </w:r>
    </w:p>
    <w:p>
      <w:pPr>
        <w:spacing w:after="120" w:before="60" w:line="300"/>
      </w:pPr>
      <w:r>
        <w:rPr>
          <w:rFonts w:ascii="Arial" w:cs="Arial" w:eastAsia="Arial" w:hAnsi="Arial"/>
          <w:color w:val="2D2D2D"/>
          <w:sz w:val="22"/>
          <w:szCs w:val="22"/>
        </w:rPr>
        <w:t xml:space="preserve">La familia C gana cuando el problema involucra lenguaje natural, contenido no estructurado, generación, razonamiento abierto o tareas que combinan comprensión y acción. Es la opción para asistentes conversacionales, búsqueda semántica sobre documentos corporativos, redacción asistida, resumen y clasificación de texto, atención al cliente automatizada con escalamiento, y agentes que ejecutan flujos complejos con herramientas.</w:t>
      </w:r>
    </w:p>
    <w:p>
      <w:pPr>
        <w:pStyle w:val="Heading3"/>
        <w:spacing w:after="100" w:before="200"/>
      </w:pPr>
      <w:r>
        <w:rPr>
          <w:rFonts w:ascii="Arial" w:cs="Arial" w:eastAsia="Arial" w:hAnsi="Arial"/>
          <w:b/>
          <w:bCs/>
          <w:color w:val="2E75B6"/>
          <w:sz w:val="24"/>
          <w:szCs w:val="24"/>
        </w:rPr>
        <w:t xml:space="preserve">Fortalezas</w:t>
      </w:r>
    </w:p>
    <w:p>
      <w:pPr>
        <w:pStyle w:val="ListParagraph"/>
        <w:numPr>
          <w:ilvl w:val="0"/>
          <w:numId w:val="2"/>
        </w:numPr>
        <w:spacing w:after="80" w:before="40" w:line="280"/>
      </w:pPr>
      <w:r>
        <w:rPr>
          <w:rFonts w:ascii="Arial" w:cs="Arial" w:eastAsia="Arial" w:hAnsi="Arial"/>
          <w:color w:val="2D2D2D"/>
          <w:sz w:val="22"/>
          <w:szCs w:val="22"/>
        </w:rPr>
        <w:t xml:space="preserve">Capacidad inédita de manejar datos no estructurados sin pre-procesamiento intensivo.</w:t>
      </w:r>
    </w:p>
    <w:p>
      <w:pPr>
        <w:pStyle w:val="ListParagraph"/>
        <w:numPr>
          <w:ilvl w:val="0"/>
          <w:numId w:val="2"/>
        </w:numPr>
        <w:spacing w:after="80" w:before="40" w:line="280"/>
      </w:pPr>
      <w:r>
        <w:rPr>
          <w:rFonts w:ascii="Arial" w:cs="Arial" w:eastAsia="Arial" w:hAnsi="Arial"/>
          <w:color w:val="2D2D2D"/>
          <w:sz w:val="22"/>
          <w:szCs w:val="22"/>
        </w:rPr>
        <w:t xml:space="preserve">Tiempo a valor muy corto: muchos casos arrancan sin entrenamiento, solo con prompting y RAG.</w:t>
      </w:r>
    </w:p>
    <w:p>
      <w:pPr>
        <w:pStyle w:val="ListParagraph"/>
        <w:numPr>
          <w:ilvl w:val="0"/>
          <w:numId w:val="2"/>
        </w:numPr>
        <w:spacing w:after="80" w:before="40" w:line="280"/>
      </w:pPr>
      <w:r>
        <w:rPr>
          <w:rFonts w:ascii="Arial" w:cs="Arial" w:eastAsia="Arial" w:hAnsi="Arial"/>
          <w:color w:val="2D2D2D"/>
          <w:sz w:val="22"/>
          <w:szCs w:val="22"/>
        </w:rPr>
        <w:t xml:space="preserve">Generaliza a tareas no vistas con cero o pocos ejemplos.</w:t>
      </w:r>
    </w:p>
    <w:p>
      <w:pPr>
        <w:pStyle w:val="ListParagraph"/>
        <w:numPr>
          <w:ilvl w:val="0"/>
          <w:numId w:val="2"/>
        </w:numPr>
        <w:spacing w:after="80" w:before="40" w:line="280"/>
      </w:pPr>
      <w:r>
        <w:rPr>
          <w:rFonts w:ascii="Arial" w:cs="Arial" w:eastAsia="Arial" w:hAnsi="Arial"/>
          <w:color w:val="2D2D2D"/>
          <w:sz w:val="22"/>
          <w:szCs w:val="22"/>
        </w:rPr>
        <w:t xml:space="preserve">Multimodalidad: el mismo modelo puede operar sobre texto, imagen, voz.</w:t>
      </w:r>
    </w:p>
    <w:p>
      <w:pPr>
        <w:pStyle w:val="Heading3"/>
        <w:spacing w:after="100" w:before="200"/>
      </w:pPr>
      <w:r>
        <w:rPr>
          <w:rFonts w:ascii="Arial" w:cs="Arial" w:eastAsia="Arial" w:hAnsi="Arial"/>
          <w:b/>
          <w:bCs/>
          <w:color w:val="2E75B6"/>
          <w:sz w:val="24"/>
          <w:szCs w:val="24"/>
        </w:rPr>
        <w:t xml:space="preserve">Debilidades y riesgos</w:t>
      </w:r>
    </w:p>
    <w:p>
      <w:pPr>
        <w:pStyle w:val="ListParagraph"/>
        <w:numPr>
          <w:ilvl w:val="0"/>
          <w:numId w:val="2"/>
        </w:numPr>
        <w:spacing w:after="80" w:before="40" w:line="280"/>
      </w:pPr>
      <w:r>
        <w:rPr>
          <w:rFonts w:ascii="Arial" w:cs="Arial" w:eastAsia="Arial" w:hAnsi="Arial"/>
          <w:color w:val="2D2D2D"/>
          <w:sz w:val="22"/>
          <w:szCs w:val="22"/>
        </w:rPr>
        <w:t xml:space="preserve">Alucinaciones: produce contenido plausible pero falso. Crítico en dominios regulados.</w:t>
      </w:r>
    </w:p>
    <w:p>
      <w:pPr>
        <w:pStyle w:val="ListParagraph"/>
        <w:numPr>
          <w:ilvl w:val="0"/>
          <w:numId w:val="2"/>
        </w:numPr>
        <w:spacing w:after="80" w:before="40" w:line="280"/>
      </w:pPr>
      <w:r>
        <w:rPr>
          <w:rFonts w:ascii="Arial" w:cs="Arial" w:eastAsia="Arial" w:hAnsi="Arial"/>
          <w:color w:val="2D2D2D"/>
          <w:sz w:val="22"/>
          <w:szCs w:val="22"/>
        </w:rPr>
        <w:t xml:space="preserve">Costo variable y potencialmente alto por consulta; requiere control financiero.</w:t>
      </w:r>
    </w:p>
    <w:p>
      <w:pPr>
        <w:pStyle w:val="ListParagraph"/>
        <w:numPr>
          <w:ilvl w:val="0"/>
          <w:numId w:val="2"/>
        </w:numPr>
        <w:spacing w:after="80" w:before="40" w:line="280"/>
      </w:pPr>
      <w:r>
        <w:rPr>
          <w:rFonts w:ascii="Arial" w:cs="Arial" w:eastAsia="Arial" w:hAnsi="Arial"/>
          <w:color w:val="2D2D2D"/>
          <w:sz w:val="22"/>
          <w:szCs w:val="22"/>
        </w:rPr>
        <w:t xml:space="preserve">Privacidad y fuga de datos: enviar información sensible a modelos externos exige arquitectura cuidadosa.</w:t>
      </w:r>
    </w:p>
    <w:p>
      <w:pPr>
        <w:pStyle w:val="ListParagraph"/>
        <w:numPr>
          <w:ilvl w:val="0"/>
          <w:numId w:val="2"/>
        </w:numPr>
        <w:spacing w:after="80" w:before="40" w:line="280"/>
      </w:pPr>
      <w:r>
        <w:rPr>
          <w:rFonts w:ascii="Arial" w:cs="Arial" w:eastAsia="Arial" w:hAnsi="Arial"/>
          <w:color w:val="2D2D2D"/>
          <w:sz w:val="22"/>
          <w:szCs w:val="22"/>
        </w:rPr>
        <w:t xml:space="preserve">Explicabilidad limitada por la naturaleza estadística del modelo.</w:t>
      </w:r>
    </w:p>
    <w:p>
      <w:pPr>
        <w:pStyle w:val="ListParagraph"/>
        <w:numPr>
          <w:ilvl w:val="0"/>
          <w:numId w:val="2"/>
        </w:numPr>
        <w:spacing w:after="80" w:before="40" w:line="280"/>
      </w:pPr>
      <w:r>
        <w:rPr>
          <w:rFonts w:ascii="Arial" w:cs="Arial" w:eastAsia="Arial" w:hAnsi="Arial"/>
          <w:color w:val="2D2D2D"/>
          <w:sz w:val="22"/>
          <w:szCs w:val="22"/>
        </w:rPr>
        <w:t xml:space="preserve">Dependencia de proveedor y variabilidad de versiones del modelo.</w:t>
      </w:r>
    </w:p>
    <w:p>
      <w:pPr>
        <w:pStyle w:val="ListParagraph"/>
        <w:numPr>
          <w:ilvl w:val="0"/>
          <w:numId w:val="2"/>
        </w:numPr>
        <w:spacing w:after="80" w:before="40" w:line="280"/>
      </w:pPr>
      <w:r>
        <w:rPr>
          <w:rFonts w:ascii="Arial" w:cs="Arial" w:eastAsia="Arial" w:hAnsi="Arial"/>
          <w:color w:val="2D2D2D"/>
          <w:sz w:val="22"/>
          <w:szCs w:val="22"/>
        </w:rPr>
        <w:t xml:space="preserve">Madurez operativa todavía emergente: prácticas de MLOps para LLMs (LLMOps) en consolidación.</w:t>
      </w:r>
    </w:p>
    <w:p>
      <w:pPr>
        <w:pStyle w:val="Heading2"/>
        <w:spacing w:after="160" w:before="320"/>
      </w:pPr>
      <w:r>
        <w:rPr>
          <w:rFonts w:ascii="Arial" w:cs="Arial" w:eastAsia="Arial" w:hAnsi="Arial"/>
          <w:b/>
          <w:bCs/>
          <w:color w:val="1F3A5F"/>
          <w:sz w:val="28"/>
          <w:szCs w:val="28"/>
        </w:rPr>
        <w:t xml:space="preserve">3.4  Comparativa lado a lado</w:t>
      </w:r>
    </w:p>
    <w:p>
      <w:pPr>
        <w:spacing w:after="120" w:before="60" w:line="300"/>
      </w:pPr>
      <w:r>
        <w:rPr>
          <w:rFonts w:ascii="Arial" w:cs="Arial" w:eastAsia="Arial" w:hAnsi="Arial"/>
          <w:color w:val="2D2D2D"/>
          <w:sz w:val="22"/>
          <w:szCs w:val="22"/>
        </w:rPr>
        <w:t xml:space="preserve">La siguiente tabla resume las tres familias en los ejes que más impactan la decisión empresarial. No reemplaza la matriz de scoring de la Sección 6; sirve como mapa mental rápido.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Eje</w:t>
            </w:r>
          </w:p>
        </w:tc>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Reglas</w:t>
            </w:r>
          </w:p>
        </w:tc>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ML clásico</w:t>
            </w:r>
          </w:p>
        </w:tc>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GenAI / Agentes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Tipo de problema</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Estructurado, reglas estables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Predicción, segmentación con patrones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Lenguaje, generación, razonamiento abierto</w:t>
            </w:r>
          </w:p>
        </w:tc>
      </w:tr>
      <w:tr>
        <w:trPr>
          <w:tblHeader w:val="false"/>
        </w:trPr>
        <w:tc>
          <w:tcPr>
            <w:tcW w:type="dxa" w:w="18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Datos requeridos</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Mínimos; tabulares limpios</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Volumen significativo, históricos etiquetados</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Documentos, texto, multimodal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Determinismo</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Total</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Probabilístico, controlable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Probabilístico, variable</w:t>
            </w:r>
          </w:p>
        </w:tc>
      </w:tr>
      <w:tr>
        <w:trPr>
          <w:tblHeader w:val="false"/>
        </w:trPr>
        <w:tc>
          <w:tcPr>
            <w:tcW w:type="dxa" w:w="18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Explicabilidad</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Nativa</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Disponible con diseño</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Limitada</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Costo operativo</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Bajo y predecible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Medio; reentrenamientos periódicos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Variable; depende del volumen de uso</w:t>
            </w:r>
          </w:p>
        </w:tc>
      </w:tr>
      <w:tr>
        <w:trPr>
          <w:tblHeader w:val="false"/>
        </w:trPr>
        <w:tc>
          <w:tcPr>
            <w:tcW w:type="dxa" w:w="18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Tiempo a valor</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Semanas</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Meses</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Días a semanas (con RAG/prompting)</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Riesgo principal</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Mantenimiento de reglas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Drift, sesgo</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Alucinación, fuga de datos, costo</w:t>
            </w:r>
          </w:p>
        </w:tc>
      </w:tr>
      <w:tr>
        <w:trPr>
          <w:tblHeader w:val="false"/>
        </w:trPr>
        <w:tc>
          <w:tcPr>
            <w:tcW w:type="dxa" w:w="18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Madurez operativa</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Alta</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Alta</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Emergente</w:t>
            </w:r>
          </w:p>
        </w:tc>
      </w:tr>
    </w:tbl>
    <w:p>
      <w:pPr>
        <w:spacing w:after="0" w:before="2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8"/>
              <w:bottom w:val="single" w:color="1F3A5F" w:sz="1"/>
              <w:right w:val="single" w:color="1F3A5F" w:sz="1"/>
            </w:tcBorders>
            <w:shd w:fill="F7F9FB" w:val="clear"/>
            <w:tcMar>
              <w:top w:type="dxa" w:w="160"/>
              <w:left w:type="dxa" w:w="200"/>
              <w:bottom w:type="dxa" w:w="160"/>
              <w:right w:type="dxa" w:w="200"/>
            </w:tcMar>
          </w:tcPr>
          <w:p>
            <w:pPr>
              <w:spacing w:after="80" w:before="0"/>
            </w:pPr>
            <w:r>
              <w:rPr>
                <w:rFonts w:ascii="Arial" w:cs="Arial" w:eastAsia="Arial" w:hAnsi="Arial"/>
                <w:b/>
                <w:bCs/>
                <w:color w:val="1F3A5F"/>
                <w:sz w:val="22"/>
                <w:szCs w:val="22"/>
              </w:rPr>
              <w:t xml:space="preserve">Soluciones híbridas: la respuesta más frecuente en la práctica</w:t>
            </w:r>
          </w:p>
          <w:p>
            <w:pPr>
              <w:spacing w:after="0" w:before="0" w:line="280"/>
            </w:pPr>
            <w:r>
              <w:rPr>
                <w:rFonts w:ascii="Arial" w:cs="Arial" w:eastAsia="Arial" w:hAnsi="Arial"/>
                <w:color w:val="2D2D2D"/>
                <w:sz w:val="22"/>
                <w:szCs w:val="22"/>
              </w:rPr>
              <w:t xml:space="preserve">La mayoría de casos empresariales reales no se resuelven con una sola familia. Una recepción de facturas usa OCR estructurado (Familia A) + extracción semántica con LLM (C) + validación con reglas de negocio (A) + scoring de riesgo de fraude con ML (B). Diseñar la combinación correcta es parte del trabajo del marco; cada componente debe pasar por el árbol de decisión de manera independiente.</w:t>
            </w:r>
          </w:p>
        </w:tc>
      </w:tr>
    </w:tbl>
    <w:p>
      <w:pPr>
        <w:pStyle w:val="Heading1"/>
        <w:pageBreakBefore/>
        <w:spacing w:after="240" w:before="480"/>
      </w:pPr>
      <w:r>
        <w:rPr>
          <w:rFonts w:ascii="Arial" w:cs="Arial" w:eastAsia="Arial" w:hAnsi="Arial"/>
          <w:b/>
          <w:bCs/>
          <w:color w:val="1F3A5F"/>
          <w:sz w:val="36"/>
          <w:szCs w:val="36"/>
        </w:rPr>
        <w:t xml:space="preserve">4. Los diez criterios de decisión</w:t>
      </w:r>
    </w:p>
    <w:p>
      <w:pPr>
        <w:spacing w:after="180" w:before="120" w:line="320"/>
      </w:pPr>
      <w:r>
        <w:rPr>
          <w:rFonts w:ascii="Arial" w:cs="Arial" w:eastAsia="Arial" w:hAnsi="Arial"/>
          <w:color w:val="2D2D2D"/>
          <w:sz w:val="24"/>
          <w:szCs w:val="24"/>
        </w:rPr>
        <w:t xml:space="preserve">Estos diez criterios alimentan tanto el árbol de la Sección 5 como la matriz de scoring de la Sección 6. Los seis primeros son los que más pesan; los cuatro últimos resuelven los casos de borde y las decisiones operativas.</w:t>
      </w:r>
    </w:p>
    <w:p>
      <w:pPr>
        <w:pStyle w:val="Heading2"/>
        <w:spacing w:after="160" w:before="320"/>
      </w:pPr>
      <w:r>
        <w:rPr>
          <w:rFonts w:ascii="Arial" w:cs="Arial" w:eastAsia="Arial" w:hAnsi="Arial"/>
          <w:b/>
          <w:bCs/>
          <w:color w:val="1F3A5F"/>
          <w:sz w:val="28"/>
          <w:szCs w:val="28"/>
        </w:rPr>
        <w:t xml:space="preserve">4.1  Criterio 1 — Naturaleza del problema</w:t>
      </w:r>
    </w:p>
    <w:p>
      <w:pPr>
        <w:spacing w:after="120" w:before="60" w:line="300"/>
      </w:pPr>
      <w:r>
        <w:rPr>
          <w:rFonts w:ascii="Arial" w:cs="Arial" w:eastAsia="Arial" w:hAnsi="Arial"/>
          <w:b/>
          <w:bCs/>
        </w:rPr>
        <w:t xml:space="preserve">Pregunta clave: </w:t>
      </w:r>
      <w:r>
        <w:rPr>
          <w:rFonts w:ascii="Arial" w:cs="Arial" w:eastAsia="Arial" w:hAnsi="Arial"/>
          <w:i/>
          <w:iCs/>
          <w:color w:val="2D2D2D"/>
          <w:sz w:val="22"/>
          <w:szCs w:val="22"/>
        </w:rPr>
        <w:t xml:space="preserve">¿El problema es determinístico, predictivo o generativo?</w:t>
      </w:r>
    </w:p>
    <w:p>
      <w:pPr>
        <w:spacing w:after="120" w:before="60" w:line="300"/>
      </w:pPr>
      <w:r>
        <w:rPr>
          <w:rFonts w:ascii="Arial" w:cs="Arial" w:eastAsia="Arial" w:hAnsi="Arial"/>
          <w:color w:val="2D2D2D"/>
          <w:sz w:val="22"/>
          <w:szCs w:val="22"/>
        </w:rPr>
        <w:t xml:space="preserve">Un problema es determinístico cuando se puede expresar como un conjunto de reglas ("si A entonces B"). Es predictivo cuando se trata de estimar un valor o asignar una categoría a partir de patrones aprendidos. Es generativo cuando el resultado esperado es contenido nuevo (texto, imagen, código) o cuando exige razonamiento abierto. La naturaleza del problema es el primer filtro; los demás criterios lo ajustan.</w:t>
      </w:r>
    </w:p>
    <w:p>
      <w:pPr>
        <w:pStyle w:val="Heading2"/>
        <w:spacing w:after="160" w:before="320"/>
      </w:pPr>
      <w:r>
        <w:rPr>
          <w:rFonts w:ascii="Arial" w:cs="Arial" w:eastAsia="Arial" w:hAnsi="Arial"/>
          <w:b/>
          <w:bCs/>
          <w:color w:val="1F3A5F"/>
          <w:sz w:val="28"/>
          <w:szCs w:val="28"/>
        </w:rPr>
        <w:t xml:space="preserve">4.2  Criterio 2 — Disponibilidad y calidad de datos</w:t>
      </w:r>
    </w:p>
    <w:p>
      <w:pPr>
        <w:spacing w:after="120" w:before="60" w:line="300"/>
      </w:pPr>
      <w:r>
        <w:rPr>
          <w:rFonts w:ascii="Arial" w:cs="Arial" w:eastAsia="Arial" w:hAnsi="Arial"/>
          <w:b/>
          <w:bCs/>
        </w:rPr>
        <w:t xml:space="preserve">Pregunta clave: </w:t>
      </w:r>
      <w:r>
        <w:rPr>
          <w:rFonts w:ascii="Arial" w:cs="Arial" w:eastAsia="Arial" w:hAnsi="Arial"/>
          <w:i/>
          <w:iCs/>
          <w:color w:val="2D2D2D"/>
          <w:sz w:val="22"/>
          <w:szCs w:val="22"/>
        </w:rPr>
        <w:t xml:space="preserve">¿Existen los datos, son accesibles, están etiquetados y son representativos?</w:t>
      </w:r>
    </w:p>
    <w:p>
      <w:pPr>
        <w:spacing w:after="120" w:before="60" w:line="300"/>
      </w:pPr>
      <w:r>
        <w:rPr>
          <w:rFonts w:ascii="Arial" w:cs="Arial" w:eastAsia="Arial" w:hAnsi="Arial"/>
          <w:color w:val="2D2D2D"/>
          <w:sz w:val="22"/>
          <w:szCs w:val="22"/>
        </w:rPr>
        <w:t xml:space="preserve">La regla práctica es que el ML supervisado exige datos históricos etiquetados con cobertura del fenómeno; los modelos no supervisados requieren volumen pero no etiquetas; las soluciones GenAI con RAG dependen de la calidad de la base documental subyacente; las reglas no requieren histórico pero sí conocimiento experto explícito. Un puntaje bajo en este criterio invalida automáticamente las opciones de ML, y obliga a invertir primero en datos.</w:t>
      </w:r>
    </w:p>
    <w:p>
      <w:pPr>
        <w:pStyle w:val="Heading2"/>
        <w:spacing w:after="160" w:before="320"/>
      </w:pPr>
      <w:r>
        <w:rPr>
          <w:rFonts w:ascii="Arial" w:cs="Arial" w:eastAsia="Arial" w:hAnsi="Arial"/>
          <w:b/>
          <w:bCs/>
          <w:color w:val="1F3A5F"/>
          <w:sz w:val="28"/>
          <w:szCs w:val="28"/>
        </w:rPr>
        <w:t xml:space="preserve">4.3  Criterio 3 — Volumen de datos disponible</w:t>
      </w:r>
    </w:p>
    <w:p>
      <w:pPr>
        <w:spacing w:after="120" w:before="60" w:line="300"/>
      </w:pPr>
      <w:r>
        <w:rPr>
          <w:rFonts w:ascii="Arial" w:cs="Arial" w:eastAsia="Arial" w:hAnsi="Arial"/>
          <w:b/>
          <w:bCs/>
        </w:rPr>
        <w:t xml:space="preserve">Pregunta clave: </w:t>
      </w:r>
      <w:r>
        <w:rPr>
          <w:rFonts w:ascii="Arial" w:cs="Arial" w:eastAsia="Arial" w:hAnsi="Arial"/>
          <w:i/>
          <w:iCs/>
          <w:color w:val="2D2D2D"/>
          <w:sz w:val="22"/>
          <w:szCs w:val="22"/>
        </w:rPr>
        <w:t xml:space="preserve">¿Cuántos registros, qué frecuencia, qué cobertura temporal?</w:t>
      </w:r>
    </w:p>
    <w:p>
      <w:pPr>
        <w:spacing w:after="120" w:before="60" w:line="300"/>
      </w:pPr>
      <w:r>
        <w:rPr>
          <w:rFonts w:ascii="Arial" w:cs="Arial" w:eastAsia="Arial" w:hAnsi="Arial"/>
          <w:color w:val="2D2D2D"/>
          <w:sz w:val="22"/>
          <w:szCs w:val="22"/>
        </w:rPr>
        <w:t xml:space="preserve">Los modelos supervisados clásicos suelen necesitar miles a decenas de miles de registros etiquetados de buena calidad para producir resultados estables. Por debajo de ese umbral, las heurísticas, las reglas o el few-shot prompting con LLMs son alternativas más sólidas. Por encima de ese umbral, el ML clásico empieza a superar a las reglas en problemas complejos.</w:t>
      </w:r>
    </w:p>
    <w:p>
      <w:pPr>
        <w:pStyle w:val="Heading2"/>
        <w:spacing w:after="160" w:before="320"/>
      </w:pPr>
      <w:r>
        <w:rPr>
          <w:rFonts w:ascii="Arial" w:cs="Arial" w:eastAsia="Arial" w:hAnsi="Arial"/>
          <w:b/>
          <w:bCs/>
          <w:color w:val="1F3A5F"/>
          <w:sz w:val="28"/>
          <w:szCs w:val="28"/>
        </w:rPr>
        <w:t xml:space="preserve">4.4  Criterio 4 — Necesidad de explicabilidad</w:t>
      </w:r>
    </w:p>
    <w:p>
      <w:pPr>
        <w:spacing w:after="120" w:before="60" w:line="300"/>
      </w:pPr>
      <w:r>
        <w:rPr>
          <w:rFonts w:ascii="Arial" w:cs="Arial" w:eastAsia="Arial" w:hAnsi="Arial"/>
          <w:b/>
          <w:bCs/>
        </w:rPr>
        <w:t xml:space="preserve">Pregunta clave: </w:t>
      </w:r>
      <w:r>
        <w:rPr>
          <w:rFonts w:ascii="Arial" w:cs="Arial" w:eastAsia="Arial" w:hAnsi="Arial"/>
          <w:i/>
          <w:iCs/>
          <w:color w:val="2D2D2D"/>
          <w:sz w:val="22"/>
          <w:szCs w:val="22"/>
        </w:rPr>
        <w:t xml:space="preserve">¿Quién necesita entender la decisión, con qué profundidad y para qué?</w:t>
      </w:r>
    </w:p>
    <w:p>
      <w:pPr>
        <w:spacing w:after="120" w:before="60" w:line="300"/>
      </w:pPr>
      <w:r>
        <w:rPr>
          <w:rFonts w:ascii="Arial" w:cs="Arial" w:eastAsia="Arial" w:hAnsi="Arial"/>
          <w:color w:val="2D2D2D"/>
          <w:sz w:val="22"/>
          <w:szCs w:val="22"/>
        </w:rPr>
        <w:t xml:space="preserve">Existen tres niveles. Explicabilidad regulatoria estricta (ante un regulador o un cliente que reclama): obligatoria en banca, salud, recursos humanos y seguros. Explicabilidad operativa (que un experto pueda diagnosticar errores): exigible en cualquier sistema crítico. Explicabilidad nula aceptable (la decisión es de bajo impacto y reversible): tolerable en recomendación de contenido o personalización. El criterio define qué familias quedan disponibles.</w:t>
      </w:r>
    </w:p>
    <w:p>
      <w:pPr>
        <w:pStyle w:val="Heading2"/>
        <w:spacing w:after="160" w:before="320"/>
      </w:pPr>
      <w:r>
        <w:rPr>
          <w:rFonts w:ascii="Arial" w:cs="Arial" w:eastAsia="Arial" w:hAnsi="Arial"/>
          <w:b/>
          <w:bCs/>
          <w:color w:val="1F3A5F"/>
          <w:sz w:val="28"/>
          <w:szCs w:val="28"/>
        </w:rPr>
        <w:t xml:space="preserve">4.5  Criterio 5 — Tolerancia al error</w:t>
      </w:r>
    </w:p>
    <w:p>
      <w:pPr>
        <w:spacing w:after="120" w:before="60" w:line="300"/>
      </w:pPr>
      <w:r>
        <w:rPr>
          <w:rFonts w:ascii="Arial" w:cs="Arial" w:eastAsia="Arial" w:hAnsi="Arial"/>
          <w:b/>
          <w:bCs/>
        </w:rPr>
        <w:t xml:space="preserve">Pregunta clave: </w:t>
      </w:r>
      <w:r>
        <w:rPr>
          <w:rFonts w:ascii="Arial" w:cs="Arial" w:eastAsia="Arial" w:hAnsi="Arial"/>
          <w:i/>
          <w:iCs/>
          <w:color w:val="2D2D2D"/>
          <w:sz w:val="22"/>
          <w:szCs w:val="22"/>
        </w:rPr>
        <w:t xml:space="preserve">¿Qué cuesta un error individual y qué tasa de error es aceptable?</w:t>
      </w:r>
    </w:p>
    <w:p>
      <w:pPr>
        <w:spacing w:after="120" w:before="60" w:line="300"/>
      </w:pPr>
      <w:r>
        <w:rPr>
          <w:rFonts w:ascii="Arial" w:cs="Arial" w:eastAsia="Arial" w:hAnsi="Arial"/>
          <w:color w:val="2D2D2D"/>
          <w:sz w:val="22"/>
          <w:szCs w:val="22"/>
        </w:rPr>
        <w:t xml:space="preserve">Hay problemas donde un 5% de error es excelente (recomendación, marketing) y otros donde un 0,1% es inaceptable (decisiones financieras, clínicas, de seguridad). El criterio determina el rigor de validación, la necesidad de mecanismos de override humano y, frecuentemente, descarta soluciones GenAI puras por riesgo de alucinación.</w:t>
      </w:r>
    </w:p>
    <w:p>
      <w:pPr>
        <w:pStyle w:val="Heading2"/>
        <w:spacing w:after="160" w:before="320"/>
      </w:pPr>
      <w:r>
        <w:rPr>
          <w:rFonts w:ascii="Arial" w:cs="Arial" w:eastAsia="Arial" w:hAnsi="Arial"/>
          <w:b/>
          <w:bCs/>
          <w:color w:val="1F3A5F"/>
          <w:sz w:val="28"/>
          <w:szCs w:val="28"/>
        </w:rPr>
        <w:t xml:space="preserve">4.6  Criterio 6 — Sensibilidad regulatoria</w:t>
      </w:r>
    </w:p>
    <w:p>
      <w:pPr>
        <w:spacing w:after="120" w:before="60" w:line="300"/>
      </w:pPr>
      <w:r>
        <w:rPr>
          <w:rFonts w:ascii="Arial" w:cs="Arial" w:eastAsia="Arial" w:hAnsi="Arial"/>
          <w:b/>
          <w:bCs/>
        </w:rPr>
        <w:t xml:space="preserve">Pregunta clave: </w:t>
      </w:r>
      <w:r>
        <w:rPr>
          <w:rFonts w:ascii="Arial" w:cs="Arial" w:eastAsia="Arial" w:hAnsi="Arial"/>
          <w:i/>
          <w:iCs/>
          <w:color w:val="2D2D2D"/>
          <w:sz w:val="22"/>
          <w:szCs w:val="22"/>
        </w:rPr>
        <w:t xml:space="preserve">¿Aplica una regulación específica (sectorial o transversal) que constriñe la elección?</w:t>
      </w:r>
    </w:p>
    <w:p>
      <w:pPr>
        <w:spacing w:after="120" w:before="60" w:line="300"/>
      </w:pPr>
      <w:r>
        <w:rPr>
          <w:rFonts w:ascii="Arial" w:cs="Arial" w:eastAsia="Arial" w:hAnsi="Arial"/>
          <w:color w:val="2D2D2D"/>
          <w:sz w:val="22"/>
          <w:szCs w:val="22"/>
        </w:rPr>
        <w:t xml:space="preserve">La sensibilidad regulatoria define no solo la elección de familia sino la arquitectura completa: dónde residen los datos, qué proveedores son aceptables, qué documentación exige el modelo, qué auditorías y monitoreos son obligatorios. La Sección 9 detalla los marcos relevantes.</w:t>
      </w:r>
    </w:p>
    <w:p>
      <w:pPr>
        <w:pStyle w:val="Heading2"/>
        <w:spacing w:after="160" w:before="320"/>
      </w:pPr>
      <w:r>
        <w:rPr>
          <w:rFonts w:ascii="Arial" w:cs="Arial" w:eastAsia="Arial" w:hAnsi="Arial"/>
          <w:b/>
          <w:bCs/>
          <w:color w:val="1F3A5F"/>
          <w:sz w:val="28"/>
          <w:szCs w:val="28"/>
        </w:rPr>
        <w:t xml:space="preserve">4.7  Criterio 7 — Latencia y volumen transaccional</w:t>
      </w:r>
    </w:p>
    <w:p>
      <w:pPr>
        <w:spacing w:after="120" w:before="60" w:line="300"/>
      </w:pPr>
      <w:r>
        <w:rPr>
          <w:rFonts w:ascii="Arial" w:cs="Arial" w:eastAsia="Arial" w:hAnsi="Arial"/>
          <w:b/>
          <w:bCs/>
        </w:rPr>
        <w:t xml:space="preserve">Pregunta clave: </w:t>
      </w:r>
      <w:r>
        <w:rPr>
          <w:rFonts w:ascii="Arial" w:cs="Arial" w:eastAsia="Arial" w:hAnsi="Arial"/>
          <w:i/>
          <w:iCs/>
          <w:color w:val="2D2D2D"/>
          <w:sz w:val="22"/>
          <w:szCs w:val="22"/>
        </w:rPr>
        <w:t xml:space="preserve">¿Cuántas decisiones por segundo, con qué tiempo máximo de respuesta?</w:t>
      </w:r>
    </w:p>
    <w:p>
      <w:pPr>
        <w:spacing w:after="120" w:before="60" w:line="300"/>
      </w:pPr>
      <w:r>
        <w:rPr>
          <w:rFonts w:ascii="Arial" w:cs="Arial" w:eastAsia="Arial" w:hAnsi="Arial"/>
          <w:color w:val="2D2D2D"/>
          <w:sz w:val="22"/>
          <w:szCs w:val="22"/>
        </w:rPr>
        <w:t xml:space="preserve">Una decisión asíncrona en lote tolera arquitecturas pesadas. Una decisión transaccional con SLA de 200 milisegundos descarta cadenas largas de LLMs sin caché o sin pre-cálculo. El criterio impacta arquitectura más que familia, pero a veces fuerza el cambio de familia (por ejemplo, de un agente complejo a un modelo de clasificación más simple pero más rápido).</w:t>
      </w:r>
    </w:p>
    <w:p>
      <w:pPr>
        <w:pStyle w:val="Heading2"/>
        <w:spacing w:after="160" w:before="320"/>
      </w:pPr>
      <w:r>
        <w:rPr>
          <w:rFonts w:ascii="Arial" w:cs="Arial" w:eastAsia="Arial" w:hAnsi="Arial"/>
          <w:b/>
          <w:bCs/>
          <w:color w:val="1F3A5F"/>
          <w:sz w:val="28"/>
          <w:szCs w:val="28"/>
        </w:rPr>
        <w:t xml:space="preserve">4.8  Criterio 8 — Sensibilidad de los datos</w:t>
      </w:r>
    </w:p>
    <w:p>
      <w:pPr>
        <w:spacing w:after="120" w:before="60" w:line="300"/>
      </w:pPr>
      <w:r>
        <w:rPr>
          <w:rFonts w:ascii="Arial" w:cs="Arial" w:eastAsia="Arial" w:hAnsi="Arial"/>
          <w:b/>
          <w:bCs/>
        </w:rPr>
        <w:t xml:space="preserve">Pregunta clave: </w:t>
      </w:r>
      <w:r>
        <w:rPr>
          <w:rFonts w:ascii="Arial" w:cs="Arial" w:eastAsia="Arial" w:hAnsi="Arial"/>
          <w:i/>
          <w:iCs/>
          <w:color w:val="2D2D2D"/>
          <w:sz w:val="22"/>
          <w:szCs w:val="22"/>
        </w:rPr>
        <w:t xml:space="preserve">¿Los datos contienen PII, secreto industrial, información financiera o sensible?</w:t>
      </w:r>
    </w:p>
    <w:p>
      <w:pPr>
        <w:spacing w:after="120" w:before="60" w:line="300"/>
      </w:pPr>
      <w:r>
        <w:rPr>
          <w:rFonts w:ascii="Arial" w:cs="Arial" w:eastAsia="Arial" w:hAnsi="Arial"/>
          <w:color w:val="2D2D2D"/>
          <w:sz w:val="22"/>
          <w:szCs w:val="22"/>
        </w:rPr>
        <w:t xml:space="preserve">Los datos sensibles condicionan la arquitectura: hosting en jurisdicciones específicas, modelos auto-alojados en lugar de SaaS, anonimización previa, contratos de procesamiento con cláusulas de no-entrenamiento. El criterio puede vetar opciones de proveedor incluso cuando la familia tecnológica es la correcta.</w:t>
      </w:r>
    </w:p>
    <w:p>
      <w:pPr>
        <w:pStyle w:val="Heading2"/>
        <w:spacing w:after="160" w:before="320"/>
      </w:pPr>
      <w:r>
        <w:rPr>
          <w:rFonts w:ascii="Arial" w:cs="Arial" w:eastAsia="Arial" w:hAnsi="Arial"/>
          <w:b/>
          <w:bCs/>
          <w:color w:val="1F3A5F"/>
          <w:sz w:val="28"/>
          <w:szCs w:val="28"/>
        </w:rPr>
        <w:t xml:space="preserve">4.9  Criterio 9 — Costo total de propiedad y ROI esperado</w:t>
      </w:r>
    </w:p>
    <w:p>
      <w:pPr>
        <w:spacing w:after="120" w:before="60" w:line="300"/>
      </w:pPr>
      <w:r>
        <w:rPr>
          <w:rFonts w:ascii="Arial" w:cs="Arial" w:eastAsia="Arial" w:hAnsi="Arial"/>
          <w:b/>
          <w:bCs/>
        </w:rPr>
        <w:t xml:space="preserve">Pregunta clave: </w:t>
      </w:r>
      <w:r>
        <w:rPr>
          <w:rFonts w:ascii="Arial" w:cs="Arial" w:eastAsia="Arial" w:hAnsi="Arial"/>
          <w:i/>
          <w:iCs/>
          <w:color w:val="2D2D2D"/>
          <w:sz w:val="22"/>
          <w:szCs w:val="22"/>
        </w:rPr>
        <w:t xml:space="preserve">¿Cuál es el TCO en tres años y qué retorno se espera?</w:t>
      </w:r>
    </w:p>
    <w:p>
      <w:pPr>
        <w:spacing w:after="120" w:before="60" w:line="300"/>
      </w:pPr>
      <w:r>
        <w:rPr>
          <w:rFonts w:ascii="Arial" w:cs="Arial" w:eastAsia="Arial" w:hAnsi="Arial"/>
          <w:color w:val="2D2D2D"/>
          <w:sz w:val="22"/>
          <w:szCs w:val="22"/>
        </w:rPr>
        <w:t xml:space="preserve">El costo total integra licenciamiento o consumo, infraestructura, talento, integración, mantenimiento y operación. La regla práctica es que GenAI tiene costo bajo de inicio y costo variable que escala con uso; ML clásico tiene costo medio inicial y operativo predecible; reglas tiene costo bajo total pero alto costo de mantenimiento conforme crecen. El ROI esperado debe justificar la familia elegida con holgura suficiente para absorber sobrecostos típicos del 30-50%.</w:t>
      </w:r>
    </w:p>
    <w:p>
      <w:pPr>
        <w:pStyle w:val="Heading2"/>
        <w:spacing w:after="160" w:before="320"/>
      </w:pPr>
      <w:r>
        <w:rPr>
          <w:rFonts w:ascii="Arial" w:cs="Arial" w:eastAsia="Arial" w:hAnsi="Arial"/>
          <w:b/>
          <w:bCs/>
          <w:color w:val="1F3A5F"/>
          <w:sz w:val="28"/>
          <w:szCs w:val="28"/>
        </w:rPr>
        <w:t xml:space="preserve">4.10  Criterio 10 — Madurez del talento y operación</w:t>
      </w:r>
    </w:p>
    <w:p>
      <w:pPr>
        <w:spacing w:after="120" w:before="60" w:line="300"/>
      </w:pPr>
      <w:r>
        <w:rPr>
          <w:rFonts w:ascii="Arial" w:cs="Arial" w:eastAsia="Arial" w:hAnsi="Arial"/>
          <w:b/>
          <w:bCs/>
        </w:rPr>
        <w:t xml:space="preserve">Pregunta clave: </w:t>
      </w:r>
      <w:r>
        <w:rPr>
          <w:rFonts w:ascii="Arial" w:cs="Arial" w:eastAsia="Arial" w:hAnsi="Arial"/>
          <w:i/>
          <w:iCs/>
          <w:color w:val="2D2D2D"/>
          <w:sz w:val="22"/>
          <w:szCs w:val="22"/>
        </w:rPr>
        <w:t xml:space="preserve">¿La organización tiene el talento, los procesos y la cultura para operar la familia elegida?</w:t>
      </w:r>
    </w:p>
    <w:p>
      <w:pPr>
        <w:spacing w:after="120" w:before="60" w:line="300"/>
      </w:pPr>
      <w:r>
        <w:rPr>
          <w:rFonts w:ascii="Arial" w:cs="Arial" w:eastAsia="Arial" w:hAnsi="Arial"/>
          <w:color w:val="2D2D2D"/>
          <w:sz w:val="22"/>
          <w:szCs w:val="22"/>
        </w:rPr>
        <w:t xml:space="preserve">Una organización sin científicos de datos ni MLOps que pretende operar veinte modelos de ML clásico en producción está condenada al fracaso. Lo mismo aplica para una organización sin gobernanza de datos que adopta agentes de IA con acceso a sistemas críticos. El criterio frecuentemente recomienda empezar por una familia más simple, o por modelos administrados en lugar de auto-alojados, mientras la madurez se construye.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F7F9FB" w:val="clear"/>
            <w:tcMar>
              <w:top w:type="dxa" w:w="160"/>
              <w:left w:type="dxa" w:w="200"/>
              <w:bottom w:type="dxa" w:w="160"/>
              <w:right w:type="dxa" w:w="200"/>
            </w:tcMar>
          </w:tcPr>
          <w:p>
            <w:pPr>
              <w:spacing w:after="80" w:before="0"/>
            </w:pPr>
            <w:r>
              <w:rPr>
                <w:rFonts w:ascii="Arial" w:cs="Arial" w:eastAsia="Arial" w:hAnsi="Arial"/>
                <w:b/>
                <w:bCs/>
                <w:color w:val="2E75B6"/>
                <w:sz w:val="22"/>
                <w:szCs w:val="22"/>
              </w:rPr>
              <w:t xml:space="preserve">Cómo se usan los criterios</w:t>
            </w:r>
          </w:p>
          <w:p>
            <w:pPr>
              <w:spacing w:after="0" w:before="0" w:line="280"/>
            </w:pPr>
            <w:r>
              <w:rPr>
                <w:rFonts w:ascii="Arial" w:cs="Arial" w:eastAsia="Arial" w:hAnsi="Arial"/>
                <w:color w:val="2D2D2D"/>
                <w:sz w:val="22"/>
                <w:szCs w:val="22"/>
              </w:rPr>
              <w:t xml:space="preserve">Cada criterio se evalúa con un puntaje de 1 a 5 que se introduce en la matriz de scoring de la Sección 6. La conjunción de los puntajes orienta la familia recomendada y los riesgos a gestionar.</w:t>
            </w:r>
          </w:p>
        </w:tc>
      </w:tr>
    </w:tbl>
    <w:p>
      <w:pPr>
        <w:pStyle w:val="Heading1"/>
        <w:pageBreakBefore/>
        <w:spacing w:after="240" w:before="480"/>
      </w:pPr>
      <w:r>
        <w:rPr>
          <w:rFonts w:ascii="Arial" w:cs="Arial" w:eastAsia="Arial" w:hAnsi="Arial"/>
          <w:b/>
          <w:bCs/>
          <w:color w:val="1F3A5F"/>
          <w:sz w:val="36"/>
          <w:szCs w:val="36"/>
        </w:rPr>
        <w:t xml:space="preserve">5. Árbol de decisión visual</w:t>
      </w:r>
    </w:p>
    <w:p>
      <w:pPr>
        <w:spacing w:after="180" w:before="120" w:line="320"/>
      </w:pPr>
      <w:r>
        <w:rPr>
          <w:rFonts w:ascii="Arial" w:cs="Arial" w:eastAsia="Arial" w:hAnsi="Arial"/>
          <w:color w:val="2D2D2D"/>
          <w:sz w:val="24"/>
          <w:szCs w:val="24"/>
        </w:rPr>
        <w:t xml:space="preserve">El árbol entrega una hipótesis rápida de familia a partir de cinco preguntas. Es un instrumento de orientación; la decisión final debe validarse con la matriz de scoring de la Sección 6 y documentarse en el cuestionario de la Sección 7.</w:t>
      </w:r>
    </w:p>
    <w:p>
      <w:pPr>
        <w:pStyle w:val="Heading2"/>
        <w:spacing w:after="160" w:before="320"/>
      </w:pPr>
      <w:r>
        <w:rPr>
          <w:rFonts w:ascii="Arial" w:cs="Arial" w:eastAsia="Arial" w:hAnsi="Arial"/>
          <w:b/>
          <w:bCs/>
          <w:color w:val="1F3A5F"/>
          <w:sz w:val="28"/>
          <w:szCs w:val="28"/>
        </w:rPr>
        <w:t xml:space="preserve">5.1  Cómo leer el árbol</w:t>
      </w:r>
    </w:p>
    <w:p>
      <w:pPr>
        <w:spacing w:after="120" w:before="60" w:line="300"/>
      </w:pPr>
      <w:r>
        <w:rPr>
          <w:rFonts w:ascii="Arial" w:cs="Arial" w:eastAsia="Arial" w:hAnsi="Arial"/>
          <w:color w:val="2D2D2D"/>
          <w:sz w:val="22"/>
          <w:szCs w:val="22"/>
        </w:rPr>
        <w:t xml:space="preserve">El árbol se recorre de arriba hacia abajo. Cada nodo presenta una pregunta dicotómica o ternaria. La rama elegida conduce al siguiente nodo o a una hoja terminal con la familia recomendada y notas de uso. Las hojas no son destinos exclusivos: cuando un problema activa varias hojas, la respuesta correcta suele ser una solución híbrida.</w:t>
      </w:r>
    </w:p>
    <w:p>
      <w:pPr>
        <w:pStyle w:val="Heading2"/>
        <w:spacing w:after="160" w:before="320"/>
      </w:pPr>
      <w:r>
        <w:rPr>
          <w:rFonts w:ascii="Arial" w:cs="Arial" w:eastAsia="Arial" w:hAnsi="Arial"/>
          <w:b/>
          <w:bCs/>
          <w:color w:val="1F3A5F"/>
          <w:sz w:val="28"/>
          <w:szCs w:val="28"/>
        </w:rPr>
        <w:t xml:space="preserve">5.2  El árbol</w:t>
      </w:r>
    </w:p>
    <w:p>
      <w:pPr>
        <w:spacing w:after="80" w:before="240"/>
        <w:jc w:val="center"/>
      </w:pPr>
      <w:r>
        <w:rPr>
          <w:rFonts w:ascii="Arial" w:cs="Arial" w:eastAsia="Arial" w:hAnsi="Arial"/>
          <w:b/>
          <w:bCs/>
          <w:color w:val="1F3A5F"/>
          <w:sz w:val="22"/>
          <w:szCs w:val="22"/>
        </w:rPr>
        <w:t xml:space="preserve">INICIO  —  Defina el problema en términos de negocio</w:t>
      </w:r>
    </w:p>
    <w:p>
      <w:pPr>
        <w:spacing w:after="80" w:before="0"/>
        <w:jc w:val="center"/>
      </w:pPr>
      <w:r>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60" w:before="60" w:line="280"/>
              <w:jc w:val="center"/>
            </w:pPr>
            <w:r>
              <w:rPr>
                <w:rFonts w:ascii="Arial" w:cs="Arial" w:eastAsia="Arial" w:hAnsi="Arial"/>
                <w:b/>
                <w:bCs/>
                <w:color w:val="1F3A5F"/>
                <w:sz w:val="22"/>
                <w:szCs w:val="22"/>
              </w:rPr>
              <w:t xml:space="preserve">Pregunta 1 — ¿El problema se puede expresar como un conjunto de reglas conocidas y estables?</w:t>
            </w:r>
          </w:p>
        </w:tc>
      </w:tr>
    </w:tbl>
    <w:p>
      <w:pPr>
        <w:spacing w:after="80" w:before="80"/>
        <w:jc w:val="center"/>
      </w:pPr>
      <w:r>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60" w:before="60" w:line="260"/>
              <w:jc w:val="center"/>
            </w:pPr>
            <w:r>
              <w:rPr>
                <w:rFonts w:ascii="Arial" w:cs="Arial" w:eastAsia="Arial" w:hAnsi="Arial"/>
                <w:b/>
                <w:bCs/>
                <w:color w:val="1F3A5F"/>
                <w:sz w:val="20"/>
                <w:szCs w:val="20"/>
              </w:rPr>
              <w:t xml:space="preserve">SÍ → ¿Las reglas cambian con frecuencia (más de 4 veces al año)?</w:t>
            </w:r>
          </w:p>
        </w:tc>
        <w:tc>
          <w:tcPr>
            <w:tcW w:type="dxa" w:w="46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60" w:before="60" w:line="260"/>
              <w:jc w:val="center"/>
            </w:pPr>
            <w:r>
              <w:rPr>
                <w:rFonts w:ascii="Arial" w:cs="Arial" w:eastAsia="Arial" w:hAnsi="Arial"/>
                <w:b/>
                <w:bCs/>
                <w:color w:val="1F3A5F"/>
                <w:sz w:val="20"/>
                <w:szCs w:val="20"/>
              </w:rPr>
              <w:t xml:space="preserve">NO → continúe a Pregunta 2</w:t>
            </w:r>
          </w:p>
        </w:tc>
      </w:tr>
    </w:tbl>
    <w:p>
      <w:pPr>
        <w:spacing w:after="80" w:before="80"/>
        <w:jc w:val="center"/>
      </w:pPr>
      <w:r>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vAlign w:val="center"/>
          </w:tcPr>
          <w:p>
            <w:pPr>
              <w:spacing w:after="60" w:before="60" w:line="260"/>
              <w:jc w:val="center"/>
            </w:pPr>
            <w:r>
              <w:rPr>
                <w:rFonts w:ascii="Arial" w:cs="Arial" w:eastAsia="Arial" w:hAnsi="Arial"/>
                <w:b/>
                <w:bCs/>
                <w:color w:val="FFFFFF"/>
                <w:sz w:val="20"/>
                <w:szCs w:val="20"/>
              </w:rPr>
              <w:t xml:space="preserve">SÍ → Reglas + capa de gobierno de cambios (BPM/BRE)</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vAlign w:val="center"/>
          </w:tcPr>
          <w:p>
            <w:pPr>
              <w:spacing w:after="60" w:before="60" w:line="260"/>
              <w:jc w:val="center"/>
            </w:pPr>
            <w:r>
              <w:rPr>
                <w:rFonts w:ascii="Arial" w:cs="Arial" w:eastAsia="Arial" w:hAnsi="Arial"/>
                <w:b/>
                <w:bCs/>
                <w:color w:val="FFFFFF"/>
                <w:sz w:val="20"/>
                <w:szCs w:val="20"/>
              </w:rPr>
              <w:t xml:space="preserve">NO → FAMILIA A · Reglas y automatización clásica</w:t>
            </w:r>
          </w:p>
        </w:tc>
      </w:tr>
    </w:tbl>
    <w:p>
      <w:pPr>
        <w:spacing w:after="0" w:before="2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60" w:before="60" w:line="280"/>
              <w:jc w:val="center"/>
            </w:pPr>
            <w:r>
              <w:rPr>
                <w:rFonts w:ascii="Arial" w:cs="Arial" w:eastAsia="Arial" w:hAnsi="Arial"/>
                <w:b/>
                <w:bCs/>
                <w:color w:val="1F3A5F"/>
                <w:sz w:val="22"/>
                <w:szCs w:val="22"/>
              </w:rPr>
              <w:t xml:space="preserve">Pregunta 2 — ¿Existen datos históricos etiquetados, suficientes y representativos del fenómeno?</w:t>
            </w:r>
          </w:p>
        </w:tc>
      </w:tr>
    </w:tbl>
    <w:p>
      <w:pPr>
        <w:spacing w:after="80" w:before="80"/>
        <w:jc w:val="center"/>
      </w:pPr>
      <w:r>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60" w:before="60" w:line="260"/>
              <w:jc w:val="center"/>
            </w:pPr>
            <w:r>
              <w:rPr>
                <w:rFonts w:ascii="Arial" w:cs="Arial" w:eastAsia="Arial" w:hAnsi="Arial"/>
                <w:b/>
                <w:bCs/>
                <w:color w:val="1F3A5F"/>
                <w:sz w:val="20"/>
                <w:szCs w:val="20"/>
              </w:rPr>
              <w:t xml:space="preserve">NO → continúe a Pregunta 4</w:t>
            </w:r>
          </w:p>
        </w:tc>
        <w:tc>
          <w:tcPr>
            <w:tcW w:type="dxa" w:w="3120"/>
            <w:tcBorders>
              <w:top w:val="single" w:color="CCCCCC" w:sz="1"/>
              <w:left w:val="single" w:color="CCCCCC" w:sz="1"/>
              <w:bottom w:val="single" w:color="CCCCCC" w:sz="1"/>
              <w:right w:val="single" w:color="CCCCCC" w:sz="1"/>
            </w:tcBorders>
            <w:shd w:fill="B7791F" w:val="clear"/>
            <w:tcMar>
              <w:top w:type="dxa" w:w="100"/>
              <w:left w:type="dxa" w:w="140"/>
              <w:bottom w:type="dxa" w:w="100"/>
              <w:right w:type="dxa" w:w="140"/>
            </w:tcMar>
            <w:vAlign w:val="center"/>
          </w:tcPr>
          <w:p>
            <w:pPr>
              <w:spacing w:after="60" w:before="60" w:line="260"/>
              <w:jc w:val="center"/>
            </w:pPr>
            <w:r>
              <w:rPr>
                <w:rFonts w:ascii="Arial" w:cs="Arial" w:eastAsia="Arial" w:hAnsi="Arial"/>
                <w:b/>
                <w:bCs/>
                <w:color w:val="FFFFFF"/>
                <w:sz w:val="20"/>
                <w:szCs w:val="20"/>
              </w:rPr>
              <w:t xml:space="preserve">PARCIALMENTE → ML + reglas de respaldo (híbrido)</w:t>
            </w:r>
          </w:p>
        </w:tc>
        <w:tc>
          <w:tcPr>
            <w:tcW w:type="dxa" w:w="31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60" w:before="60" w:line="260"/>
              <w:jc w:val="center"/>
            </w:pPr>
            <w:r>
              <w:rPr>
                <w:rFonts w:ascii="Arial" w:cs="Arial" w:eastAsia="Arial" w:hAnsi="Arial"/>
                <w:b/>
                <w:bCs/>
                <w:color w:val="1F3A5F"/>
                <w:sz w:val="20"/>
                <w:szCs w:val="20"/>
              </w:rPr>
              <w:t xml:space="preserve">SÍ → continúe a Pregunta 3</w:t>
            </w:r>
          </w:p>
        </w:tc>
      </w:tr>
    </w:tbl>
    <w:p>
      <w:pPr>
        <w:spacing w:after="0" w:before="2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60" w:before="60" w:line="280"/>
              <w:jc w:val="center"/>
            </w:pPr>
            <w:r>
              <w:rPr>
                <w:rFonts w:ascii="Arial" w:cs="Arial" w:eastAsia="Arial" w:hAnsi="Arial"/>
                <w:b/>
                <w:bCs/>
                <w:color w:val="1F3A5F"/>
                <w:sz w:val="22"/>
                <w:szCs w:val="22"/>
              </w:rPr>
              <w:t xml:space="preserve">Pregunta 3 — ¿La pregunta es predictiva (clasificar, estimar, segmentar, anomalía) y los datos son tabulares o de series de tiempo?</w:t>
            </w:r>
          </w:p>
        </w:tc>
      </w:tr>
    </w:tbl>
    <w:p>
      <w:pPr>
        <w:spacing w:after="80" w:before="80"/>
        <w:jc w:val="center"/>
      </w:pPr>
      <w:r>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vAlign w:val="center"/>
          </w:tcPr>
          <w:p>
            <w:pPr>
              <w:spacing w:after="60" w:before="60" w:line="260"/>
              <w:jc w:val="center"/>
            </w:pPr>
            <w:r>
              <w:rPr>
                <w:rFonts w:ascii="Arial" w:cs="Arial" w:eastAsia="Arial" w:hAnsi="Arial"/>
                <w:b/>
                <w:bCs/>
                <w:color w:val="FFFFFF"/>
                <w:sz w:val="20"/>
                <w:szCs w:val="20"/>
              </w:rPr>
              <w:t xml:space="preserve">SÍ → FAMILIA B · ML supervisado / no supervisado</w:t>
            </w:r>
          </w:p>
        </w:tc>
        <w:tc>
          <w:tcPr>
            <w:tcW w:type="dxa" w:w="46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60" w:before="60" w:line="260"/>
              <w:jc w:val="center"/>
            </w:pPr>
            <w:r>
              <w:rPr>
                <w:rFonts w:ascii="Arial" w:cs="Arial" w:eastAsia="Arial" w:hAnsi="Arial"/>
                <w:b/>
                <w:bCs/>
                <w:color w:val="1F3A5F"/>
                <w:sz w:val="20"/>
                <w:szCs w:val="20"/>
              </w:rPr>
              <w:t xml:space="preserve">NO → continúe a Pregunta 4</w:t>
            </w:r>
          </w:p>
        </w:tc>
      </w:tr>
    </w:tbl>
    <w:p>
      <w:pPr>
        <w:spacing w:after="0" w:before="2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60" w:before="60" w:line="280"/>
              <w:jc w:val="center"/>
            </w:pPr>
            <w:r>
              <w:rPr>
                <w:rFonts w:ascii="Arial" w:cs="Arial" w:eastAsia="Arial" w:hAnsi="Arial"/>
                <w:b/>
                <w:bCs/>
                <w:color w:val="1F3A5F"/>
                <w:sz w:val="22"/>
                <w:szCs w:val="22"/>
              </w:rPr>
              <w:t xml:space="preserve">Pregunta 4 — ¿El problema involucra lenguaje natural, contenido no estructurado, generación o razonamiento abierto?</w:t>
            </w:r>
          </w:p>
        </w:tc>
      </w:tr>
    </w:tbl>
    <w:p>
      <w:pPr>
        <w:spacing w:after="80" w:before="80"/>
        <w:jc w:val="center"/>
      </w:pPr>
      <w:r>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60" w:before="60" w:line="260"/>
              <w:jc w:val="center"/>
            </w:pPr>
            <w:r>
              <w:rPr>
                <w:rFonts w:ascii="Arial" w:cs="Arial" w:eastAsia="Arial" w:hAnsi="Arial"/>
                <w:b/>
                <w:bCs/>
                <w:color w:val="1F3A5F"/>
                <w:sz w:val="20"/>
                <w:szCs w:val="20"/>
              </w:rPr>
              <w:t xml:space="preserve">SÍ → continúe a Pregunta 5</w:t>
            </w:r>
          </w:p>
        </w:tc>
        <w:tc>
          <w:tcPr>
            <w:tcW w:type="dxa" w:w="4680"/>
            <w:tcBorders>
              <w:top w:val="single" w:color="CCCCCC" w:sz="1"/>
              <w:left w:val="single" w:color="CCCCCC" w:sz="1"/>
              <w:bottom w:val="single" w:color="CCCCCC" w:sz="1"/>
              <w:right w:val="single" w:color="CCCCCC" w:sz="1"/>
            </w:tcBorders>
            <w:shd w:fill="B91C1C" w:val="clear"/>
            <w:tcMar>
              <w:top w:type="dxa" w:w="100"/>
              <w:left w:type="dxa" w:w="140"/>
              <w:bottom w:type="dxa" w:w="100"/>
              <w:right w:type="dxa" w:w="140"/>
            </w:tcMar>
            <w:vAlign w:val="center"/>
          </w:tcPr>
          <w:p>
            <w:pPr>
              <w:spacing w:after="60" w:before="60" w:line="260"/>
              <w:jc w:val="center"/>
            </w:pPr>
            <w:r>
              <w:rPr>
                <w:rFonts w:ascii="Arial" w:cs="Arial" w:eastAsia="Arial" w:hAnsi="Arial"/>
                <w:b/>
                <w:bCs/>
                <w:color w:val="FFFFFF"/>
                <w:sz w:val="20"/>
                <w:szCs w:val="20"/>
              </w:rPr>
              <w:t xml:space="preserve">NO → vuelva a definir el problema con un experto del negocio</w:t>
            </w:r>
          </w:p>
        </w:tc>
      </w:tr>
    </w:tbl>
    <w:p>
      <w:pPr>
        <w:spacing w:after="0" w:before="2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60" w:before="60" w:line="280"/>
              <w:jc w:val="center"/>
            </w:pPr>
            <w:r>
              <w:rPr>
                <w:rFonts w:ascii="Arial" w:cs="Arial" w:eastAsia="Arial" w:hAnsi="Arial"/>
                <w:b/>
                <w:bCs/>
                <w:color w:val="1F3A5F"/>
                <w:sz w:val="22"/>
                <w:szCs w:val="22"/>
              </w:rPr>
              <w:t xml:space="preserve">Pregunta 5 — ¿Existe alta sensibilidad regulatoria, intolerancia al error o exigencia de explicabilidad estricta?</w:t>
            </w:r>
          </w:p>
        </w:tc>
      </w:tr>
    </w:tbl>
    <w:p>
      <w:pPr>
        <w:spacing w:after="80" w:before="80"/>
        <w:jc w:val="center"/>
      </w:pPr>
      <w:r>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B7791F" w:val="clear"/>
            <w:tcMar>
              <w:top w:type="dxa" w:w="100"/>
              <w:left w:type="dxa" w:w="140"/>
              <w:bottom w:type="dxa" w:w="100"/>
              <w:right w:type="dxa" w:w="140"/>
            </w:tcMar>
            <w:vAlign w:val="center"/>
          </w:tcPr>
          <w:p>
            <w:pPr>
              <w:spacing w:after="60" w:before="60" w:line="260"/>
              <w:jc w:val="center"/>
            </w:pPr>
            <w:r>
              <w:rPr>
                <w:rFonts w:ascii="Arial" w:cs="Arial" w:eastAsia="Arial" w:hAnsi="Arial"/>
                <w:b/>
                <w:bCs/>
                <w:color w:val="FFFFFF"/>
                <w:sz w:val="20"/>
                <w:szCs w:val="20"/>
              </w:rPr>
              <w:t xml:space="preserve">SÍ → FAMILIA C con guardarraíles fuertes (RAG verificable, validación humana, pruebas extensivas)</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vAlign w:val="center"/>
          </w:tcPr>
          <w:p>
            <w:pPr>
              <w:spacing w:after="60" w:before="60" w:line="260"/>
              <w:jc w:val="center"/>
            </w:pPr>
            <w:r>
              <w:rPr>
                <w:rFonts w:ascii="Arial" w:cs="Arial" w:eastAsia="Arial" w:hAnsi="Arial"/>
                <w:b/>
                <w:bCs/>
                <w:color w:val="FFFFFF"/>
                <w:sz w:val="20"/>
                <w:szCs w:val="20"/>
              </w:rPr>
              <w:t xml:space="preserve">NO → FAMILIA C · LLMs / GenAI / Agentes</w:t>
            </w:r>
          </w:p>
        </w:tc>
      </w:tr>
    </w:tbl>
    <w:p>
      <w:pPr>
        <w:spacing w:after="0" w:before="320"/>
      </w:pPr>
      <w:r>
        <w:rPr>
          <w:rFonts w:ascii="Arial" w:cs="Arial" w:eastAsia="Arial" w:hAnsi="Arial"/>
        </w:rPr>
        <w:t xml:space="preserve"/>
      </w:r>
    </w:p>
    <w:p>
      <w:pPr>
        <w:pStyle w:val="Heading2"/>
        <w:spacing w:after="160" w:before="320"/>
      </w:pPr>
      <w:r>
        <w:rPr>
          <w:rFonts w:ascii="Arial" w:cs="Arial" w:eastAsia="Arial" w:hAnsi="Arial"/>
          <w:b/>
          <w:bCs/>
          <w:color w:val="1F3A5F"/>
          <w:sz w:val="28"/>
          <w:szCs w:val="28"/>
        </w:rPr>
        <w:t xml:space="preserve">5.3  Leyenda y notas de uso</w:t>
      </w:r>
    </w:p>
    <w:p>
      <w:pPr>
        <w:pStyle w:val="ListParagraph"/>
        <w:numPr>
          <w:ilvl w:val="0"/>
          <w:numId w:val="2"/>
        </w:numPr>
        <w:spacing w:after="80" w:before="40" w:line="280"/>
      </w:pPr>
      <w:r>
        <w:rPr>
          <w:rFonts w:ascii="Arial" w:cs="Arial" w:eastAsia="Arial" w:hAnsi="Arial"/>
          <w:color w:val="2D2D2D"/>
          <w:sz w:val="22"/>
          <w:szCs w:val="22"/>
        </w:rPr>
        <w:t xml:space="preserve">Hojas verdes: recomendación principal, alta confianza.</w:t>
      </w:r>
    </w:p>
    <w:p>
      <w:pPr>
        <w:pStyle w:val="ListParagraph"/>
        <w:numPr>
          <w:ilvl w:val="0"/>
          <w:numId w:val="2"/>
        </w:numPr>
        <w:spacing w:after="80" w:before="40" w:line="280"/>
      </w:pPr>
      <w:r>
        <w:rPr>
          <w:rFonts w:ascii="Arial" w:cs="Arial" w:eastAsia="Arial" w:hAnsi="Arial"/>
          <w:color w:val="2D2D2D"/>
          <w:sz w:val="22"/>
          <w:szCs w:val="22"/>
        </w:rPr>
        <w:t xml:space="preserve">Hojas ámbar: recomendación con condiciones; revisar guardarraíles antes de avanzar.</w:t>
      </w:r>
    </w:p>
    <w:p>
      <w:pPr>
        <w:pStyle w:val="ListParagraph"/>
        <w:numPr>
          <w:ilvl w:val="0"/>
          <w:numId w:val="2"/>
        </w:numPr>
        <w:spacing w:after="80" w:before="40" w:line="280"/>
      </w:pPr>
      <w:r>
        <w:rPr>
          <w:rFonts w:ascii="Arial" w:cs="Arial" w:eastAsia="Arial" w:hAnsi="Arial"/>
          <w:color w:val="2D2D2D"/>
          <w:sz w:val="22"/>
          <w:szCs w:val="22"/>
        </w:rPr>
        <w:t xml:space="preserve">Hojas rojas: alto a la decisión; falta definición o el problema no es candidato natural a IA.</w:t>
      </w:r>
    </w:p>
    <w:p>
      <w:pPr>
        <w:pStyle w:val="ListParagraph"/>
        <w:numPr>
          <w:ilvl w:val="0"/>
          <w:numId w:val="2"/>
        </w:numPr>
        <w:spacing w:after="80" w:before="40" w:line="280"/>
      </w:pPr>
      <w:r>
        <w:rPr>
          <w:rFonts w:ascii="Arial" w:cs="Arial" w:eastAsia="Arial" w:hAnsi="Arial"/>
          <w:color w:val="2D2D2D"/>
          <w:sz w:val="22"/>
          <w:szCs w:val="22"/>
        </w:rPr>
        <w:t xml:space="preserve">Si el recorrido produce más de una hoja válida, la solución es híbrida y cada componente debe pasar por el árbol de manera independiente.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1"/>
              <w:left w:val="single" w:color="B7791F" w:sz="18"/>
              <w:bottom w:val="single" w:color="B7791F" w:sz="1"/>
              <w:right w:val="single" w:color="B7791F" w:sz="1"/>
            </w:tcBorders>
            <w:shd w:fill="F7F9FB" w:val="clear"/>
            <w:tcMar>
              <w:top w:type="dxa" w:w="160"/>
              <w:left w:type="dxa" w:w="200"/>
              <w:bottom w:type="dxa" w:w="160"/>
              <w:right w:type="dxa" w:w="200"/>
            </w:tcMar>
          </w:tcPr>
          <w:p>
            <w:pPr>
              <w:spacing w:after="80" w:before="0"/>
            </w:pPr>
            <w:r>
              <w:rPr>
                <w:rFonts w:ascii="Arial" w:cs="Arial" w:eastAsia="Arial" w:hAnsi="Arial"/>
                <w:b/>
                <w:bCs/>
                <w:color w:val="B7791F"/>
                <w:sz w:val="22"/>
                <w:szCs w:val="22"/>
              </w:rPr>
              <w:t xml:space="preserve">Limitación del árbol</w:t>
            </w:r>
          </w:p>
          <w:p>
            <w:pPr>
              <w:spacing w:after="0" w:before="0" w:line="280"/>
            </w:pPr>
            <w:r>
              <w:rPr>
                <w:rFonts w:ascii="Arial" w:cs="Arial" w:eastAsia="Arial" w:hAnsi="Arial"/>
                <w:color w:val="2D2D2D"/>
                <w:sz w:val="22"/>
                <w:szCs w:val="22"/>
              </w:rPr>
              <w:t xml:space="preserve">El árbol resuelve la hipótesis de familia pero no captura la totalidad de los criterios de la Sección 4. Antes de cerrar la decisión, valide con la matriz de scoring de la Sección 6.</w:t>
            </w:r>
          </w:p>
        </w:tc>
      </w:tr>
    </w:tbl>
    <w:p>
      <w:pPr>
        <w:pStyle w:val="Heading1"/>
        <w:pageBreakBefore/>
        <w:spacing w:after="240" w:before="480"/>
      </w:pPr>
      <w:r>
        <w:rPr>
          <w:rFonts w:ascii="Arial" w:cs="Arial" w:eastAsia="Arial" w:hAnsi="Arial"/>
          <w:b/>
          <w:bCs/>
          <w:color w:val="1F3A5F"/>
          <w:sz w:val="36"/>
          <w:szCs w:val="36"/>
        </w:rPr>
        <w:t xml:space="preserve">6. Matriz de scoring multicriterio</w:t>
      </w:r>
    </w:p>
    <w:p>
      <w:pPr>
        <w:spacing w:after="180" w:before="120" w:line="320"/>
      </w:pPr>
      <w:r>
        <w:rPr>
          <w:rFonts w:ascii="Arial" w:cs="Arial" w:eastAsia="Arial" w:hAnsi="Arial"/>
          <w:color w:val="2D2D2D"/>
          <w:sz w:val="24"/>
          <w:szCs w:val="24"/>
        </w:rPr>
        <w:t xml:space="preserve">La matriz convierte la evaluación cualitativa en un puntaje cuantitativo por familia. Sirve para validar la hipótesis del árbol, dejar evidencia trazable de la decisión y comparar alternativas con criterio común.</w:t>
      </w:r>
    </w:p>
    <w:p>
      <w:pPr>
        <w:pStyle w:val="Heading2"/>
        <w:spacing w:after="160" w:before="320"/>
      </w:pPr>
      <w:r>
        <w:rPr>
          <w:rFonts w:ascii="Arial" w:cs="Arial" w:eastAsia="Arial" w:hAnsi="Arial"/>
          <w:b/>
          <w:bCs/>
          <w:color w:val="1F3A5F"/>
          <w:sz w:val="28"/>
          <w:szCs w:val="28"/>
        </w:rPr>
        <w:t xml:space="preserve">6.1  Mecánica de la matriz</w:t>
      </w:r>
    </w:p>
    <w:p>
      <w:pPr>
        <w:spacing w:after="120" w:before="60" w:line="300"/>
      </w:pPr>
      <w:r>
        <w:rPr>
          <w:rFonts w:ascii="Arial" w:cs="Arial" w:eastAsia="Arial" w:hAnsi="Arial"/>
          <w:color w:val="2D2D2D"/>
          <w:sz w:val="22"/>
          <w:szCs w:val="22"/>
        </w:rPr>
        <w:t xml:space="preserve">Para cada uno de los diez criterios de la Sección 4, el equipo evalúa el problema con un puntaje de 1 a 5. Cada criterio tiene un peso predeterminado que refleja su impacto típico en la decisión; los pesos pueden ajustarse para casos sectoriales específicos. Para cada familia, el aporte de un criterio se calcula multiplicando el puntaje del problema por el factor de afinidad de esa familia con ese puntaje. La familia con mayor puntaje total es la recomendación cuantificada.</w:t>
      </w:r>
    </w:p>
    <w:p>
      <w:pPr>
        <w:pStyle w:val="Heading3"/>
        <w:spacing w:after="100" w:before="200"/>
      </w:pPr>
      <w:r>
        <w:rPr>
          <w:rFonts w:ascii="Arial" w:cs="Arial" w:eastAsia="Arial" w:hAnsi="Arial"/>
          <w:b/>
          <w:bCs/>
          <w:color w:val="2E75B6"/>
          <w:sz w:val="24"/>
          <w:szCs w:val="24"/>
        </w:rPr>
        <w:t xml:space="preserve">Escala de puntuación de criterios</w:t>
      </w:r>
    </w:p>
    <w:p>
      <w:pPr>
        <w:pStyle w:val="ListParagraph"/>
        <w:numPr>
          <w:ilvl w:val="0"/>
          <w:numId w:val="2"/>
        </w:numPr>
        <w:spacing w:after="80" w:before="40" w:line="280"/>
      </w:pPr>
      <w:r>
        <w:rPr>
          <w:rFonts w:ascii="Arial" w:cs="Arial" w:eastAsia="Arial" w:hAnsi="Arial"/>
          <w:color w:val="2D2D2D"/>
          <w:sz w:val="22"/>
          <w:szCs w:val="22"/>
        </w:rPr>
        <w:t xml:space="preserve">1 — Mínimo / problema no presenta esta característica.</w:t>
      </w:r>
    </w:p>
    <w:p>
      <w:pPr>
        <w:pStyle w:val="ListParagraph"/>
        <w:numPr>
          <w:ilvl w:val="0"/>
          <w:numId w:val="2"/>
        </w:numPr>
        <w:spacing w:after="80" w:before="40" w:line="280"/>
      </w:pPr>
      <w:r>
        <w:rPr>
          <w:rFonts w:ascii="Arial" w:cs="Arial" w:eastAsia="Arial" w:hAnsi="Arial"/>
          <w:color w:val="2D2D2D"/>
          <w:sz w:val="22"/>
          <w:szCs w:val="22"/>
        </w:rPr>
        <w:t xml:space="preserve">2 — Bajo.</w:t>
      </w:r>
    </w:p>
    <w:p>
      <w:pPr>
        <w:pStyle w:val="ListParagraph"/>
        <w:numPr>
          <w:ilvl w:val="0"/>
          <w:numId w:val="2"/>
        </w:numPr>
        <w:spacing w:after="80" w:before="40" w:line="280"/>
      </w:pPr>
      <w:r>
        <w:rPr>
          <w:rFonts w:ascii="Arial" w:cs="Arial" w:eastAsia="Arial" w:hAnsi="Arial"/>
          <w:color w:val="2D2D2D"/>
          <w:sz w:val="22"/>
          <w:szCs w:val="22"/>
        </w:rPr>
        <w:t xml:space="preserve">3 — Medio.</w:t>
      </w:r>
    </w:p>
    <w:p>
      <w:pPr>
        <w:pStyle w:val="ListParagraph"/>
        <w:numPr>
          <w:ilvl w:val="0"/>
          <w:numId w:val="2"/>
        </w:numPr>
        <w:spacing w:after="80" w:before="40" w:line="280"/>
      </w:pPr>
      <w:r>
        <w:rPr>
          <w:rFonts w:ascii="Arial" w:cs="Arial" w:eastAsia="Arial" w:hAnsi="Arial"/>
          <w:color w:val="2D2D2D"/>
          <w:sz w:val="22"/>
          <w:szCs w:val="22"/>
        </w:rPr>
        <w:t xml:space="preserve">4 — Alto.</w:t>
      </w:r>
    </w:p>
    <w:p>
      <w:pPr>
        <w:pStyle w:val="ListParagraph"/>
        <w:numPr>
          <w:ilvl w:val="0"/>
          <w:numId w:val="2"/>
        </w:numPr>
        <w:spacing w:after="80" w:before="40" w:line="280"/>
      </w:pPr>
      <w:r>
        <w:rPr>
          <w:rFonts w:ascii="Arial" w:cs="Arial" w:eastAsia="Arial" w:hAnsi="Arial"/>
          <w:color w:val="2D2D2D"/>
          <w:sz w:val="22"/>
          <w:szCs w:val="22"/>
        </w:rPr>
        <w:t xml:space="preserve">5 — Máximo / característica dominante del problema.</w:t>
      </w:r>
    </w:p>
    <w:p>
      <w:pPr>
        <w:pStyle w:val="Heading2"/>
        <w:spacing w:after="160" w:before="320"/>
      </w:pPr>
      <w:r>
        <w:rPr>
          <w:rFonts w:ascii="Arial" w:cs="Arial" w:eastAsia="Arial" w:hAnsi="Arial"/>
          <w:b/>
          <w:bCs/>
          <w:color w:val="1F3A5F"/>
          <w:sz w:val="28"/>
          <w:szCs w:val="28"/>
        </w:rPr>
        <w:t xml:space="preserve">6.2  Tabla de afinidad: criterio × familia</w:t>
      </w:r>
    </w:p>
    <w:p>
      <w:pPr>
        <w:spacing w:after="120" w:before="60" w:line="300"/>
      </w:pPr>
      <w:r>
        <w:rPr>
          <w:rFonts w:ascii="Arial" w:cs="Arial" w:eastAsia="Arial" w:hAnsi="Arial"/>
          <w:color w:val="2D2D2D"/>
          <w:sz w:val="22"/>
          <w:szCs w:val="22"/>
        </w:rPr>
        <w:t xml:space="preserve">La tabla muestra el factor de afinidad (de 0 a 1) que cada familia tiene frente al puntaje del criterio. Se interpreta como: "qué tan bien encaja esta familia cuando este criterio puntúa alto".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680"/>
        <w:gridCol w:w="1680"/>
        <w:gridCol w:w="1680"/>
      </w:tblGrid>
      <w:tr>
        <w:trPr>
          <w:tblHeader/>
        </w:trPr>
        <w:tc>
          <w:tcPr>
            <w:tcW w:type="dxa" w:w="28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Criterio</w:t>
            </w:r>
          </w:p>
        </w:tc>
        <w:tc>
          <w:tcPr>
            <w:tcW w:type="dxa" w:w="14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Peso</w:t>
            </w:r>
          </w:p>
        </w:tc>
        <w:tc>
          <w:tcPr>
            <w:tcW w:type="dxa" w:w="16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Reglas (A)</w:t>
            </w:r>
          </w:p>
        </w:tc>
        <w:tc>
          <w:tcPr>
            <w:tcW w:type="dxa" w:w="16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ML (B)</w:t>
            </w:r>
          </w:p>
        </w:tc>
        <w:tc>
          <w:tcPr>
            <w:tcW w:type="dxa" w:w="16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GenAI (C)</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1. Naturaleza del problema (puntaje alto = generativo/abierto)</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15%</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0.1</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0.5</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b/>
                <w:bCs/>
                <w:color w:val="1F3A5F"/>
                <w:sz w:val="20"/>
                <w:szCs w:val="20"/>
              </w:rPr>
              <w:t xml:space="preserve">0.9</w:t>
            </w:r>
          </w:p>
        </w:tc>
      </w:tr>
      <w:tr>
        <w:trPr>
          <w:tblHeader w:val="false"/>
        </w:trPr>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2. Disponibilidad y calidad de datos (puntaje alto = excelentes datos)</w:t>
            </w:r>
          </w:p>
        </w:tc>
        <w:tc>
          <w:tcPr>
            <w:tcW w:type="dxa" w:w="14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15%</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0.6</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b/>
                <w:bCs/>
                <w:color w:val="1F3A5F"/>
                <w:sz w:val="20"/>
                <w:szCs w:val="20"/>
              </w:rPr>
              <w:t xml:space="preserve">0.9</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0.7</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3. Volumen de datos (puntaje alto = miles+ de registros)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10%</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0.4</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b/>
                <w:bCs/>
                <w:color w:val="1F3A5F"/>
                <w:sz w:val="20"/>
                <w:szCs w:val="20"/>
              </w:rPr>
              <w:t xml:space="preserve">0.95</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0.6</w:t>
            </w:r>
          </w:p>
        </w:tc>
      </w:tr>
      <w:tr>
        <w:trPr>
          <w:tblHeader w:val="false"/>
        </w:trPr>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4. Necesidad de explicabilidad (puntaje alto = alta exigencia)</w:t>
            </w:r>
          </w:p>
        </w:tc>
        <w:tc>
          <w:tcPr>
            <w:tcW w:type="dxa" w:w="14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10%</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b/>
                <w:bCs/>
                <w:color w:val="1F3A5F"/>
                <w:sz w:val="20"/>
                <w:szCs w:val="20"/>
              </w:rPr>
              <w:t xml:space="preserve">1.0</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0.6</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0.3</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5. Tolerancia al error (puntaje alto = poca tolerancia)</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10%</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b/>
                <w:bCs/>
                <w:color w:val="1F3A5F"/>
                <w:sz w:val="20"/>
                <w:szCs w:val="20"/>
              </w:rPr>
              <w:t xml:space="preserve">0.95</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0.7</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0.4</w:t>
            </w:r>
          </w:p>
        </w:tc>
      </w:tr>
      <w:tr>
        <w:trPr>
          <w:tblHeader w:val="false"/>
        </w:trPr>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6. Sensibilidad regulatoria (puntaje alto = muy regulado)</w:t>
            </w:r>
          </w:p>
        </w:tc>
        <w:tc>
          <w:tcPr>
            <w:tcW w:type="dxa" w:w="14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10%</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b/>
                <w:bCs/>
                <w:color w:val="1F3A5F"/>
                <w:sz w:val="20"/>
                <w:szCs w:val="20"/>
              </w:rPr>
              <w:t xml:space="preserve">0.9</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0.7</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0.5</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7. Latencia y volumen transaccional (puntaje alto = baja latencia/alto vol.)</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8%</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b/>
                <w:bCs/>
                <w:color w:val="1F3A5F"/>
                <w:sz w:val="20"/>
                <w:szCs w:val="20"/>
              </w:rPr>
              <w:t xml:space="preserve">0.95</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0.85</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0.5</w:t>
            </w:r>
          </w:p>
        </w:tc>
      </w:tr>
      <w:tr>
        <w:trPr>
          <w:tblHeader w:val="false"/>
        </w:trPr>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8. Sensibilidad de los datos (puntaje alto = PII/secreto)</w:t>
            </w:r>
          </w:p>
        </w:tc>
        <w:tc>
          <w:tcPr>
            <w:tcW w:type="dxa" w:w="14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8%</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b/>
                <w:bCs/>
                <w:color w:val="1F3A5F"/>
                <w:sz w:val="20"/>
                <w:szCs w:val="20"/>
              </w:rPr>
              <w:t xml:space="preserve">0.9</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0.7</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0.5</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9. Costo total y ROI (puntaje alto = costo crítico)</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7%</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b/>
                <w:bCs/>
                <w:color w:val="1F3A5F"/>
                <w:sz w:val="20"/>
                <w:szCs w:val="20"/>
              </w:rPr>
              <w:t xml:space="preserve">0.9</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0.7</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0.5</w:t>
            </w:r>
          </w:p>
        </w:tc>
      </w:tr>
      <w:tr>
        <w:trPr>
          <w:tblHeader w:val="false"/>
        </w:trPr>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10. Madurez del talento y operación (puntaje alto = baja madurez)</w:t>
            </w:r>
          </w:p>
        </w:tc>
        <w:tc>
          <w:tcPr>
            <w:tcW w:type="dxa" w:w="14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7%</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b/>
                <w:bCs/>
                <w:color w:val="1F3A5F"/>
                <w:sz w:val="20"/>
                <w:szCs w:val="20"/>
              </w:rPr>
              <w:t xml:space="preserve">0.9</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0.5</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0.7</w:t>
            </w:r>
          </w:p>
        </w:tc>
      </w:tr>
    </w:tbl>
    <w:p>
      <w:pPr>
        <w:spacing w:after="0" w:before="2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F7F9FB" w:val="clear"/>
            <w:tcMar>
              <w:top w:type="dxa" w:w="160"/>
              <w:left w:type="dxa" w:w="200"/>
              <w:bottom w:type="dxa" w:w="160"/>
              <w:right w:type="dxa" w:w="200"/>
            </w:tcMar>
          </w:tcPr>
          <w:p>
            <w:pPr>
              <w:spacing w:after="80" w:before="0"/>
            </w:pPr>
            <w:r>
              <w:rPr>
                <w:rFonts w:ascii="Arial" w:cs="Arial" w:eastAsia="Arial" w:hAnsi="Arial"/>
                <w:b/>
                <w:bCs/>
                <w:color w:val="2E75B6"/>
                <w:sz w:val="22"/>
                <w:szCs w:val="22"/>
              </w:rPr>
              <w:t xml:space="preserve">Lectura de los factores</w:t>
            </w:r>
          </w:p>
          <w:p>
            <w:pPr>
              <w:spacing w:after="0" w:before="0" w:line="280"/>
            </w:pPr>
            <w:r>
              <w:rPr>
                <w:rFonts w:ascii="Arial" w:cs="Arial" w:eastAsia="Arial" w:hAnsi="Arial"/>
                <w:color w:val="2D2D2D"/>
                <w:sz w:val="22"/>
                <w:szCs w:val="22"/>
              </w:rPr>
              <w:t xml:space="preserve">Un factor cercano a 1 indica que la familia es muy afín a un puntaje alto en ese criterio. Un factor bajo indica que un puntaje alto en ese criterio penaliza esa familia. Por ejemplo, GenAI tiene afinidad 0.3 frente a alta exigencia de explicabilidad, lo que la descalifica para casos altamente regulados sin guardarraíles adicionales.</w:t>
            </w:r>
          </w:p>
        </w:tc>
      </w:tr>
    </w:tbl>
    <w:p>
      <w:pPr>
        <w:pStyle w:val="Heading2"/>
        <w:spacing w:after="160" w:before="320"/>
      </w:pPr>
      <w:r>
        <w:rPr>
          <w:rFonts w:ascii="Arial" w:cs="Arial" w:eastAsia="Arial" w:hAnsi="Arial"/>
          <w:b/>
          <w:bCs/>
          <w:color w:val="1F3A5F"/>
          <w:sz w:val="28"/>
          <w:szCs w:val="28"/>
        </w:rPr>
        <w:t xml:space="preserve">6.3  Cálculo del puntaje final</w:t>
      </w:r>
    </w:p>
    <w:p>
      <w:pPr>
        <w:spacing w:after="120" w:before="60" w:line="300"/>
      </w:pPr>
      <w:r>
        <w:rPr>
          <w:rFonts w:ascii="Arial" w:cs="Arial" w:eastAsia="Arial" w:hAnsi="Arial"/>
          <w:color w:val="2D2D2D"/>
          <w:sz w:val="22"/>
          <w:szCs w:val="22"/>
        </w:rPr>
        <w:t xml:space="preserve">Para cada familia: puntaje_familia = Σ (puntaje_criterio × peso_criterio × afinidad_familia_criterio). El resultado se escala a una base 100. La familia con mayor puntaje es la recomendación cuantificada; diferencias menores a 10 puntos sugieren que se considere una solución híbrida.</w:t>
      </w:r>
    </w:p>
    <w:p>
      <w:pPr>
        <w:pStyle w:val="Heading3"/>
        <w:spacing w:after="100" w:before="200"/>
      </w:pPr>
      <w:r>
        <w:rPr>
          <w:rFonts w:ascii="Arial" w:cs="Arial" w:eastAsia="Arial" w:hAnsi="Arial"/>
          <w:b/>
          <w:bCs/>
          <w:color w:val="2E75B6"/>
          <w:sz w:val="24"/>
          <w:szCs w:val="24"/>
        </w:rPr>
        <w:t xml:space="preserve">Ejemplo de cálculo</w:t>
      </w:r>
    </w:p>
    <w:p>
      <w:pPr>
        <w:spacing w:after="120" w:before="60" w:line="300"/>
      </w:pPr>
      <w:r>
        <w:rPr>
          <w:rFonts w:ascii="Arial" w:cs="Arial" w:eastAsia="Arial" w:hAnsi="Arial"/>
          <w:color w:val="2D2D2D"/>
          <w:sz w:val="22"/>
          <w:szCs w:val="22"/>
        </w:rPr>
        <w:t xml:space="preserve">Caso hipotético: predicción de churn de clientes en una telco con datos históricos abundantes y baja exigencia regulatoria. Puntajes asignados al problema (1-5 por criterio): C1=2 (problema predictivo), C2=5 (datos excelentes), C3=5 (volumen alto), C4=3 (explicabilidad media), C5=3 (tolerancia media), C6=3 (regulación media), C7=2 (latencia no crítica), C8=4 (PII presente), C9=3 (costo medio), C10=3 (madurez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Componente</w:t>
            </w:r>
          </w:p>
        </w:tc>
        <w:tc>
          <w:tcPr>
            <w:tcW w:type="dxa" w:w="20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center"/>
            </w:pPr>
            <w:r>
              <w:rPr>
                <w:rFonts w:ascii="Arial" w:cs="Arial" w:eastAsia="Arial" w:hAnsi="Arial"/>
                <w:b/>
                <w:bCs/>
                <w:color w:val="1F3A5F"/>
                <w:sz w:val="20"/>
                <w:szCs w:val="20"/>
              </w:rPr>
              <w:t xml:space="preserve">Reglas (A)</w:t>
            </w:r>
          </w:p>
        </w:tc>
        <w:tc>
          <w:tcPr>
            <w:tcW w:type="dxa" w:w="20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center"/>
            </w:pPr>
            <w:r>
              <w:rPr>
                <w:rFonts w:ascii="Arial" w:cs="Arial" w:eastAsia="Arial" w:hAnsi="Arial"/>
                <w:b/>
                <w:bCs/>
                <w:color w:val="1F3A5F"/>
                <w:sz w:val="20"/>
                <w:szCs w:val="20"/>
              </w:rPr>
              <w:t xml:space="preserve">ML (B)</w:t>
            </w:r>
          </w:p>
        </w:tc>
        <w:tc>
          <w:tcPr>
            <w:tcW w:type="dxa" w:w="20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center"/>
            </w:pPr>
            <w:r>
              <w:rPr>
                <w:rFonts w:ascii="Arial" w:cs="Arial" w:eastAsia="Arial" w:hAnsi="Arial"/>
                <w:b/>
                <w:bCs/>
                <w:color w:val="1F3A5F"/>
                <w:sz w:val="20"/>
                <w:szCs w:val="20"/>
              </w:rPr>
              <w:t xml:space="preserve">GenAI (C)</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Suma ponderada cruda</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1.99</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2.69</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1.84</w:t>
            </w:r>
          </w:p>
        </w:tc>
      </w:tr>
      <w:tr>
        <w:trPr>
          <w:tblHeader w:val="false"/>
        </w:trPr>
        <w:tc>
          <w:tcPr>
            <w:tcW w:type="dxa" w:w="31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Puntaje normalizado (base 100)</w:t>
            </w:r>
          </w:p>
        </w:tc>
        <w:tc>
          <w:tcPr>
            <w:tcW w:type="dxa" w:w="2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60</w:t>
            </w:r>
          </w:p>
        </w:tc>
        <w:tc>
          <w:tcPr>
            <w:tcW w:type="dxa" w:w="2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b/>
                <w:bCs/>
                <w:color w:val="2E7D32"/>
                <w:sz w:val="20"/>
                <w:szCs w:val="20"/>
              </w:rPr>
              <w:t xml:space="preserve">85</w:t>
            </w:r>
          </w:p>
        </w:tc>
        <w:tc>
          <w:tcPr>
            <w:tcW w:type="dxa" w:w="2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55</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Recomendación</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Subóptima</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b/>
                <w:bCs/>
                <w:color w:val="2E7D32"/>
                <w:sz w:val="20"/>
                <w:szCs w:val="20"/>
              </w:rPr>
              <w:t xml:space="preserve">RECOMENDADA</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Subóptima</w:t>
            </w:r>
          </w:p>
        </w:tc>
      </w:tr>
    </w:tbl>
    <w:p>
      <w:pPr>
        <w:spacing w:after="0" w:before="240"/>
      </w:pPr>
      <w:r>
        <w:rPr>
          <w:rFonts w:ascii="Arial" w:cs="Arial" w:eastAsia="Arial" w:hAnsi="Arial"/>
        </w:rPr>
        <w:t xml:space="preserve"/>
      </w:r>
    </w:p>
    <w:p>
      <w:pPr>
        <w:spacing w:after="120" w:before="60" w:line="300"/>
      </w:pPr>
      <w:r>
        <w:rPr>
          <w:rFonts w:ascii="Arial" w:cs="Arial" w:eastAsia="Arial" w:hAnsi="Arial"/>
          <w:color w:val="2D2D2D"/>
          <w:sz w:val="22"/>
          <w:szCs w:val="22"/>
        </w:rPr>
        <w:t xml:space="preserve">Lectura: el problema es claro candidato a Familia B (ML clásico). Las reglas no aprovechan el volumen de datos, y la GenAI introduce riesgos de fuga de PII y opacidad sin aportar capacidad diferencial para un problema de clasificación tabular.</w:t>
      </w:r>
    </w:p>
    <w:p>
      <w:pPr>
        <w:pStyle w:val="Heading2"/>
        <w:spacing w:after="160" w:before="320"/>
      </w:pPr>
      <w:r>
        <w:rPr>
          <w:rFonts w:ascii="Arial" w:cs="Arial" w:eastAsia="Arial" w:hAnsi="Arial"/>
          <w:b/>
          <w:bCs/>
          <w:color w:val="1F3A5F"/>
          <w:sz w:val="28"/>
          <w:szCs w:val="28"/>
        </w:rPr>
        <w:t xml:space="preserve">6.4  Reglas de interpretación</w:t>
      </w:r>
    </w:p>
    <w:p>
      <w:pPr>
        <w:pStyle w:val="ListParagraph"/>
        <w:numPr>
          <w:ilvl w:val="0"/>
          <w:numId w:val="2"/>
        </w:numPr>
        <w:spacing w:after="80" w:before="40" w:line="280"/>
      </w:pPr>
      <w:r>
        <w:rPr>
          <w:rFonts w:ascii="Arial" w:cs="Arial" w:eastAsia="Arial" w:hAnsi="Arial"/>
          <w:b/>
          <w:bCs/>
        </w:rPr>
        <w:t xml:space="preserve">Diferencia mayor a 20 puntos: </w:t>
      </w:r>
      <w:r>
        <w:rPr>
          <w:rFonts w:ascii="Arial" w:cs="Arial" w:eastAsia="Arial" w:hAnsi="Arial"/>
          <w:color w:val="2D2D2D"/>
          <w:sz w:val="22"/>
          <w:szCs w:val="22"/>
        </w:rPr>
        <w:t xml:space="preserve">la familia ganadora es claramente la correcta; documentar y avanzar.</w:t>
      </w:r>
    </w:p>
    <w:p>
      <w:pPr>
        <w:pStyle w:val="ListParagraph"/>
        <w:numPr>
          <w:ilvl w:val="0"/>
          <w:numId w:val="2"/>
        </w:numPr>
        <w:spacing w:after="80" w:before="40" w:line="280"/>
      </w:pPr>
      <w:r>
        <w:rPr>
          <w:rFonts w:ascii="Arial" w:cs="Arial" w:eastAsia="Arial" w:hAnsi="Arial"/>
          <w:b/>
          <w:bCs/>
        </w:rPr>
        <w:t xml:space="preserve">Diferencia entre 10 y 20 puntos: </w:t>
      </w:r>
      <w:r>
        <w:rPr>
          <w:rFonts w:ascii="Arial" w:cs="Arial" w:eastAsia="Arial" w:hAnsi="Arial"/>
          <w:color w:val="2D2D2D"/>
          <w:sz w:val="22"/>
          <w:szCs w:val="22"/>
        </w:rPr>
        <w:t xml:space="preserve">la familia ganadora es la recomendada, pero conviene revisar criterios donde la perdedora supera, por si justifican componentes híbridos.</w:t>
      </w:r>
    </w:p>
    <w:p>
      <w:pPr>
        <w:pStyle w:val="ListParagraph"/>
        <w:numPr>
          <w:ilvl w:val="0"/>
          <w:numId w:val="2"/>
        </w:numPr>
        <w:spacing w:after="80" w:before="40" w:line="280"/>
      </w:pPr>
      <w:r>
        <w:rPr>
          <w:rFonts w:ascii="Arial" w:cs="Arial" w:eastAsia="Arial" w:hAnsi="Arial"/>
          <w:b/>
          <w:bCs/>
        </w:rPr>
        <w:t xml:space="preserve">Diferencia menor a 10 puntos: </w:t>
      </w:r>
      <w:r>
        <w:rPr>
          <w:rFonts w:ascii="Arial" w:cs="Arial" w:eastAsia="Arial" w:hAnsi="Arial"/>
          <w:color w:val="2D2D2D"/>
          <w:sz w:val="22"/>
          <w:szCs w:val="22"/>
        </w:rPr>
        <w:t xml:space="preserve">solución híbrida casi seguro; descomponer el problema en sub-problemas y aplicar el marco a cada uno.</w:t>
      </w:r>
    </w:p>
    <w:p>
      <w:pPr>
        <w:pStyle w:val="ListParagraph"/>
        <w:numPr>
          <w:ilvl w:val="0"/>
          <w:numId w:val="2"/>
        </w:numPr>
        <w:spacing w:after="80" w:before="40" w:line="280"/>
      </w:pPr>
      <w:r>
        <w:rPr>
          <w:rFonts w:ascii="Arial" w:cs="Arial" w:eastAsia="Arial" w:hAnsi="Arial"/>
          <w:b/>
          <w:bCs/>
        </w:rPr>
        <w:t xml:space="preserve">Ninguna familia supera 50: </w:t>
      </w:r>
      <w:r>
        <w:rPr>
          <w:rFonts w:ascii="Arial" w:cs="Arial" w:eastAsia="Arial" w:hAnsi="Arial"/>
          <w:color w:val="2D2D2D"/>
          <w:sz w:val="22"/>
          <w:szCs w:val="22"/>
        </w:rPr>
        <w:t xml:space="preserve">el problema no es buen candidato a IA en su forma actual; replantear con experto del negocio.</w:t>
      </w:r>
    </w:p>
    <w:p>
      <w:pPr>
        <w:pStyle w:val="Heading1"/>
        <w:pageBreakBefore/>
        <w:spacing w:after="240" w:before="480"/>
      </w:pPr>
      <w:r>
        <w:rPr>
          <w:rFonts w:ascii="Arial" w:cs="Arial" w:eastAsia="Arial" w:hAnsi="Arial"/>
          <w:b/>
          <w:bCs/>
          <w:color w:val="1F3A5F"/>
          <w:sz w:val="36"/>
          <w:szCs w:val="36"/>
        </w:rPr>
        <w:t xml:space="preserve">7. Cuestionario guiado</w:t>
      </w:r>
    </w:p>
    <w:p>
      <w:pPr>
        <w:spacing w:after="180" w:before="120" w:line="320"/>
      </w:pPr>
      <w:r>
        <w:rPr>
          <w:rFonts w:ascii="Arial" w:cs="Arial" w:eastAsia="Arial" w:hAnsi="Arial"/>
          <w:color w:val="2D2D2D"/>
          <w:sz w:val="24"/>
          <w:szCs w:val="24"/>
        </w:rPr>
        <w:t xml:space="preserve">El cuestionario es el artefacto operativo que recoge la información necesaria para alimentar el árbol y la matriz. Se completa en taller con el cliente, idealmente con un patrocinador del negocio, un experto del proceso y un perfil de TI/datos.</w:t>
      </w:r>
    </w:p>
    <w:p>
      <w:pPr>
        <w:pStyle w:val="Heading2"/>
        <w:spacing w:after="160" w:before="320"/>
      </w:pPr>
      <w:r>
        <w:rPr>
          <w:rFonts w:ascii="Arial" w:cs="Arial" w:eastAsia="Arial" w:hAnsi="Arial"/>
          <w:b/>
          <w:bCs/>
          <w:color w:val="1F3A5F"/>
          <w:sz w:val="28"/>
          <w:szCs w:val="28"/>
        </w:rPr>
        <w:t xml:space="preserve">7.1  Bloque 1 — Definición del problema</w:t>
      </w:r>
    </w:p>
    <w:p>
      <w:pPr>
        <w:spacing w:after="120" w:before="60" w:line="300"/>
      </w:pPr>
      <w:r>
        <w:rPr>
          <w:rFonts w:ascii="Arial" w:cs="Arial" w:eastAsia="Arial" w:hAnsi="Arial"/>
          <w:b/>
          <w:bCs/>
          <w:color w:val="2E75B6"/>
          <w:sz w:val="22"/>
          <w:szCs w:val="22"/>
        </w:rPr>
        <w:t xml:space="preserve">Q1. </w:t>
      </w:r>
      <w:r>
        <w:rPr>
          <w:rFonts w:ascii="Arial" w:cs="Arial" w:eastAsia="Arial" w:hAnsi="Arial"/>
          <w:color w:val="2D2D2D"/>
          <w:sz w:val="22"/>
          <w:szCs w:val="22"/>
        </w:rPr>
        <w:t xml:space="preserve">Describa el problema en una frase, en términos de negocio (sin tecnología).</w:t>
      </w:r>
    </w:p>
    <w:p>
      <w:pPr>
        <w:spacing w:after="120" w:before="60" w:line="300"/>
      </w:pPr>
      <w:r>
        <w:rPr>
          <w:rFonts w:ascii="Arial" w:cs="Arial" w:eastAsia="Arial" w:hAnsi="Arial"/>
          <w:b/>
          <w:bCs/>
          <w:color w:val="2E75B6"/>
          <w:sz w:val="22"/>
          <w:szCs w:val="22"/>
        </w:rPr>
        <w:t xml:space="preserve">Q2. </w:t>
      </w:r>
      <w:r>
        <w:rPr>
          <w:rFonts w:ascii="Arial" w:cs="Arial" w:eastAsia="Arial" w:hAnsi="Arial"/>
          <w:color w:val="2D2D2D"/>
          <w:sz w:val="22"/>
          <w:szCs w:val="22"/>
        </w:rPr>
        <w:t xml:space="preserve">¿Qué decisión específica se toma hoy y quién la toma?</w:t>
      </w:r>
    </w:p>
    <w:p>
      <w:pPr>
        <w:spacing w:after="120" w:before="60" w:line="300"/>
      </w:pPr>
      <w:r>
        <w:rPr>
          <w:rFonts w:ascii="Arial" w:cs="Arial" w:eastAsia="Arial" w:hAnsi="Arial"/>
          <w:b/>
          <w:bCs/>
          <w:color w:val="2E75B6"/>
          <w:sz w:val="22"/>
          <w:szCs w:val="22"/>
        </w:rPr>
        <w:t xml:space="preserve">Q3. </w:t>
      </w:r>
      <w:r>
        <w:rPr>
          <w:rFonts w:ascii="Arial" w:cs="Arial" w:eastAsia="Arial" w:hAnsi="Arial"/>
          <w:color w:val="2D2D2D"/>
          <w:sz w:val="22"/>
          <w:szCs w:val="22"/>
        </w:rPr>
        <w:t xml:space="preserve">¿Con qué frecuencia se toma esta decisión y bajo qué SLA?</w:t>
      </w:r>
    </w:p>
    <w:p>
      <w:pPr>
        <w:spacing w:after="120" w:before="60" w:line="300"/>
      </w:pPr>
      <w:r>
        <w:rPr>
          <w:rFonts w:ascii="Arial" w:cs="Arial" w:eastAsia="Arial" w:hAnsi="Arial"/>
          <w:b/>
          <w:bCs/>
          <w:color w:val="2E75B6"/>
          <w:sz w:val="22"/>
          <w:szCs w:val="22"/>
        </w:rPr>
        <w:t xml:space="preserve">Q4. </w:t>
      </w:r>
      <w:r>
        <w:rPr>
          <w:rFonts w:ascii="Arial" w:cs="Arial" w:eastAsia="Arial" w:hAnsi="Arial"/>
          <w:color w:val="2D2D2D"/>
          <w:sz w:val="22"/>
          <w:szCs w:val="22"/>
        </w:rPr>
        <w:t xml:space="preserve">¿Cuál es la consecuencia de un error individual? Estímela en valor monetario o de impacto.</w:t>
      </w:r>
    </w:p>
    <w:p>
      <w:pPr>
        <w:spacing w:after="120" w:before="60" w:line="300"/>
      </w:pPr>
      <w:r>
        <w:rPr>
          <w:rFonts w:ascii="Arial" w:cs="Arial" w:eastAsia="Arial" w:hAnsi="Arial"/>
          <w:b/>
          <w:bCs/>
          <w:color w:val="2E75B6"/>
          <w:sz w:val="22"/>
          <w:szCs w:val="22"/>
        </w:rPr>
        <w:t xml:space="preserve">Q5. </w:t>
      </w:r>
      <w:r>
        <w:rPr>
          <w:rFonts w:ascii="Arial" w:cs="Arial" w:eastAsia="Arial" w:hAnsi="Arial"/>
          <w:color w:val="2D2D2D"/>
          <w:sz w:val="22"/>
          <w:szCs w:val="22"/>
        </w:rPr>
        <w:t xml:space="preserve">¿Qué tasa de error se considera aceptable?</w:t>
      </w:r>
    </w:p>
    <w:p>
      <w:pPr>
        <w:pStyle w:val="Heading2"/>
        <w:spacing w:after="160" w:before="320"/>
      </w:pPr>
      <w:r>
        <w:rPr>
          <w:rFonts w:ascii="Arial" w:cs="Arial" w:eastAsia="Arial" w:hAnsi="Arial"/>
          <w:b/>
          <w:bCs/>
          <w:color w:val="1F3A5F"/>
          <w:sz w:val="28"/>
          <w:szCs w:val="28"/>
        </w:rPr>
        <w:t xml:space="preserve">7.2  Bloque 2 — Datos</w:t>
      </w:r>
    </w:p>
    <w:p>
      <w:pPr>
        <w:spacing w:after="120" w:before="60" w:line="300"/>
      </w:pPr>
      <w:r>
        <w:rPr>
          <w:rFonts w:ascii="Arial" w:cs="Arial" w:eastAsia="Arial" w:hAnsi="Arial"/>
          <w:b/>
          <w:bCs/>
          <w:color w:val="2E75B6"/>
          <w:sz w:val="22"/>
          <w:szCs w:val="22"/>
        </w:rPr>
        <w:t xml:space="preserve">Q6. </w:t>
      </w:r>
      <w:r>
        <w:rPr>
          <w:rFonts w:ascii="Arial" w:cs="Arial" w:eastAsia="Arial" w:hAnsi="Arial"/>
          <w:color w:val="2D2D2D"/>
          <w:sz w:val="22"/>
          <w:szCs w:val="22"/>
        </w:rPr>
        <w:t xml:space="preserve">¿Existen los datos necesarios? ¿En qué sistemas residen?</w:t>
      </w:r>
    </w:p>
    <w:p>
      <w:pPr>
        <w:spacing w:after="120" w:before="60" w:line="300"/>
      </w:pPr>
      <w:r>
        <w:rPr>
          <w:rFonts w:ascii="Arial" w:cs="Arial" w:eastAsia="Arial" w:hAnsi="Arial"/>
          <w:b/>
          <w:bCs/>
          <w:color w:val="2E75B6"/>
          <w:sz w:val="22"/>
          <w:szCs w:val="22"/>
        </w:rPr>
        <w:t xml:space="preserve">Q7. </w:t>
      </w:r>
      <w:r>
        <w:rPr>
          <w:rFonts w:ascii="Arial" w:cs="Arial" w:eastAsia="Arial" w:hAnsi="Arial"/>
          <w:color w:val="2D2D2D"/>
          <w:sz w:val="22"/>
          <w:szCs w:val="22"/>
        </w:rPr>
        <w:t xml:space="preserve">¿Están etiquetados (en el caso de problemas predictivos)? ¿Qué proporción?</w:t>
      </w:r>
    </w:p>
    <w:p>
      <w:pPr>
        <w:spacing w:after="120" w:before="60" w:line="300"/>
      </w:pPr>
      <w:r>
        <w:rPr>
          <w:rFonts w:ascii="Arial" w:cs="Arial" w:eastAsia="Arial" w:hAnsi="Arial"/>
          <w:b/>
          <w:bCs/>
          <w:color w:val="2E75B6"/>
          <w:sz w:val="22"/>
          <w:szCs w:val="22"/>
        </w:rPr>
        <w:t xml:space="preserve">Q8. </w:t>
      </w:r>
      <w:r>
        <w:rPr>
          <w:rFonts w:ascii="Arial" w:cs="Arial" w:eastAsia="Arial" w:hAnsi="Arial"/>
          <w:color w:val="2D2D2D"/>
          <w:sz w:val="22"/>
          <w:szCs w:val="22"/>
        </w:rPr>
        <w:t xml:space="preserve">¿Qué volumen total de datos hay disponible y con qué cobertura temporal?</w:t>
      </w:r>
    </w:p>
    <w:p>
      <w:pPr>
        <w:spacing w:after="120" w:before="60" w:line="300"/>
      </w:pPr>
      <w:r>
        <w:rPr>
          <w:rFonts w:ascii="Arial" w:cs="Arial" w:eastAsia="Arial" w:hAnsi="Arial"/>
          <w:b/>
          <w:bCs/>
          <w:color w:val="2E75B6"/>
          <w:sz w:val="22"/>
          <w:szCs w:val="22"/>
        </w:rPr>
        <w:t xml:space="preserve">Q9. </w:t>
      </w:r>
      <w:r>
        <w:rPr>
          <w:rFonts w:ascii="Arial" w:cs="Arial" w:eastAsia="Arial" w:hAnsi="Arial"/>
          <w:color w:val="2D2D2D"/>
          <w:sz w:val="22"/>
          <w:szCs w:val="22"/>
        </w:rPr>
        <w:t xml:space="preserve">¿Qué calidad tienen los datos (completitud, consistencia, oportunidad)?</w:t>
      </w:r>
    </w:p>
    <w:p>
      <w:pPr>
        <w:spacing w:after="120" w:before="60" w:line="300"/>
      </w:pPr>
      <w:r>
        <w:rPr>
          <w:rFonts w:ascii="Arial" w:cs="Arial" w:eastAsia="Arial" w:hAnsi="Arial"/>
          <w:b/>
          <w:bCs/>
          <w:color w:val="2E75B6"/>
          <w:sz w:val="22"/>
          <w:szCs w:val="22"/>
        </w:rPr>
        <w:t xml:space="preserve">Q10. </w:t>
      </w:r>
      <w:r>
        <w:rPr>
          <w:rFonts w:ascii="Arial" w:cs="Arial" w:eastAsia="Arial" w:hAnsi="Arial"/>
          <w:color w:val="2D2D2D"/>
          <w:sz w:val="22"/>
          <w:szCs w:val="22"/>
        </w:rPr>
        <w:t xml:space="preserve">¿Qué tan sensibles son los datos? ¿Contienen PII, secreto industrial, datos financieros?</w:t>
      </w:r>
    </w:p>
    <w:p>
      <w:pPr>
        <w:pStyle w:val="Heading2"/>
        <w:spacing w:after="160" w:before="320"/>
      </w:pPr>
      <w:r>
        <w:rPr>
          <w:rFonts w:ascii="Arial" w:cs="Arial" w:eastAsia="Arial" w:hAnsi="Arial"/>
          <w:b/>
          <w:bCs/>
          <w:color w:val="1F3A5F"/>
          <w:sz w:val="28"/>
          <w:szCs w:val="28"/>
        </w:rPr>
        <w:t xml:space="preserve">7.3  Bloque 3 — Restricciones</w:t>
      </w:r>
    </w:p>
    <w:p>
      <w:pPr>
        <w:spacing w:after="120" w:before="60" w:line="300"/>
      </w:pPr>
      <w:r>
        <w:rPr>
          <w:rFonts w:ascii="Arial" w:cs="Arial" w:eastAsia="Arial" w:hAnsi="Arial"/>
          <w:b/>
          <w:bCs/>
          <w:color w:val="2E75B6"/>
          <w:sz w:val="22"/>
          <w:szCs w:val="22"/>
        </w:rPr>
        <w:t xml:space="preserve">Q11. </w:t>
      </w:r>
      <w:r>
        <w:rPr>
          <w:rFonts w:ascii="Arial" w:cs="Arial" w:eastAsia="Arial" w:hAnsi="Arial"/>
          <w:color w:val="2D2D2D"/>
          <w:sz w:val="22"/>
          <w:szCs w:val="22"/>
        </w:rPr>
        <w:t xml:space="preserve">¿Qué regulaciones aplican (sectoriales y transversales)?</w:t>
      </w:r>
    </w:p>
    <w:p>
      <w:pPr>
        <w:spacing w:after="120" w:before="60" w:line="300"/>
      </w:pPr>
      <w:r>
        <w:rPr>
          <w:rFonts w:ascii="Arial" w:cs="Arial" w:eastAsia="Arial" w:hAnsi="Arial"/>
          <w:b/>
          <w:bCs/>
          <w:color w:val="2E75B6"/>
          <w:sz w:val="22"/>
          <w:szCs w:val="22"/>
        </w:rPr>
        <w:t xml:space="preserve">Q12. </w:t>
      </w:r>
      <w:r>
        <w:rPr>
          <w:rFonts w:ascii="Arial" w:cs="Arial" w:eastAsia="Arial" w:hAnsi="Arial"/>
          <w:color w:val="2D2D2D"/>
          <w:sz w:val="22"/>
          <w:szCs w:val="22"/>
        </w:rPr>
        <w:t xml:space="preserve">¿Qué nivel de explicabilidad se requiere y para qué audiencia?</w:t>
      </w:r>
    </w:p>
    <w:p>
      <w:pPr>
        <w:spacing w:after="120" w:before="60" w:line="300"/>
      </w:pPr>
      <w:r>
        <w:rPr>
          <w:rFonts w:ascii="Arial" w:cs="Arial" w:eastAsia="Arial" w:hAnsi="Arial"/>
          <w:b/>
          <w:bCs/>
          <w:color w:val="2E75B6"/>
          <w:sz w:val="22"/>
          <w:szCs w:val="22"/>
        </w:rPr>
        <w:t xml:space="preserve">Q13. </w:t>
      </w:r>
      <w:r>
        <w:rPr>
          <w:rFonts w:ascii="Arial" w:cs="Arial" w:eastAsia="Arial" w:hAnsi="Arial"/>
          <w:color w:val="2D2D2D"/>
          <w:sz w:val="22"/>
          <w:szCs w:val="22"/>
        </w:rPr>
        <w:t xml:space="preserve">¿Cuál es la tolerancia financiera para esta iniciativa (CapEx + OpEx en 3 años)?</w:t>
      </w:r>
    </w:p>
    <w:p>
      <w:pPr>
        <w:spacing w:after="120" w:before="60" w:line="300"/>
      </w:pPr>
      <w:r>
        <w:rPr>
          <w:rFonts w:ascii="Arial" w:cs="Arial" w:eastAsia="Arial" w:hAnsi="Arial"/>
          <w:b/>
          <w:bCs/>
          <w:color w:val="2E75B6"/>
          <w:sz w:val="22"/>
          <w:szCs w:val="22"/>
        </w:rPr>
        <w:t xml:space="preserve">Q14. </w:t>
      </w:r>
      <w:r>
        <w:rPr>
          <w:rFonts w:ascii="Arial" w:cs="Arial" w:eastAsia="Arial" w:hAnsi="Arial"/>
          <w:color w:val="2D2D2D"/>
          <w:sz w:val="22"/>
          <w:szCs w:val="22"/>
        </w:rPr>
        <w:t xml:space="preserve">¿Qué decisiones son automatizables y cuáles requieren human-in-the-loop?</w:t>
      </w:r>
    </w:p>
    <w:p>
      <w:pPr>
        <w:pStyle w:val="Heading2"/>
        <w:spacing w:after="160" w:before="320"/>
      </w:pPr>
      <w:r>
        <w:rPr>
          <w:rFonts w:ascii="Arial" w:cs="Arial" w:eastAsia="Arial" w:hAnsi="Arial"/>
          <w:b/>
          <w:bCs/>
          <w:color w:val="1F3A5F"/>
          <w:sz w:val="28"/>
          <w:szCs w:val="28"/>
        </w:rPr>
        <w:t xml:space="preserve">7.4  Bloque 4 — Capacidades organizacionales</w:t>
      </w:r>
    </w:p>
    <w:p>
      <w:pPr>
        <w:spacing w:after="120" w:before="60" w:line="300"/>
      </w:pPr>
      <w:r>
        <w:rPr>
          <w:rFonts w:ascii="Arial" w:cs="Arial" w:eastAsia="Arial" w:hAnsi="Arial"/>
          <w:b/>
          <w:bCs/>
          <w:color w:val="2E75B6"/>
          <w:sz w:val="22"/>
          <w:szCs w:val="22"/>
        </w:rPr>
        <w:t xml:space="preserve">Q15. </w:t>
      </w:r>
      <w:r>
        <w:rPr>
          <w:rFonts w:ascii="Arial" w:cs="Arial" w:eastAsia="Arial" w:hAnsi="Arial"/>
          <w:color w:val="2D2D2D"/>
          <w:sz w:val="22"/>
          <w:szCs w:val="22"/>
        </w:rPr>
        <w:t xml:space="preserve">¿La organización cuenta con científicos de datos, ingenieros de ML o especialistas en IA?</w:t>
      </w:r>
    </w:p>
    <w:p>
      <w:pPr>
        <w:spacing w:after="120" w:before="60" w:line="300"/>
      </w:pPr>
      <w:r>
        <w:rPr>
          <w:rFonts w:ascii="Arial" w:cs="Arial" w:eastAsia="Arial" w:hAnsi="Arial"/>
          <w:b/>
          <w:bCs/>
          <w:color w:val="2E75B6"/>
          <w:sz w:val="22"/>
          <w:szCs w:val="22"/>
        </w:rPr>
        <w:t xml:space="preserve">Q16. </w:t>
      </w:r>
      <w:r>
        <w:rPr>
          <w:rFonts w:ascii="Arial" w:cs="Arial" w:eastAsia="Arial" w:hAnsi="Arial"/>
          <w:color w:val="2D2D2D"/>
          <w:sz w:val="22"/>
          <w:szCs w:val="22"/>
        </w:rPr>
        <w:t xml:space="preserve">¿Existe gobernanza de datos formal y procesos de gestión de modelos en producción?</w:t>
      </w:r>
    </w:p>
    <w:p>
      <w:pPr>
        <w:spacing w:after="120" w:before="60" w:line="300"/>
      </w:pPr>
      <w:r>
        <w:rPr>
          <w:rFonts w:ascii="Arial" w:cs="Arial" w:eastAsia="Arial" w:hAnsi="Arial"/>
          <w:b/>
          <w:bCs/>
          <w:color w:val="2E75B6"/>
          <w:sz w:val="22"/>
          <w:szCs w:val="22"/>
        </w:rPr>
        <w:t xml:space="preserve">Q17. </w:t>
      </w:r>
      <w:r>
        <w:rPr>
          <w:rFonts w:ascii="Arial" w:cs="Arial" w:eastAsia="Arial" w:hAnsi="Arial"/>
          <w:color w:val="2D2D2D"/>
          <w:sz w:val="22"/>
          <w:szCs w:val="22"/>
        </w:rPr>
        <w:t xml:space="preserve">¿Qué experiencia previa hay con iniciativas de IA y qué resultados produjeron?</w:t>
      </w:r>
    </w:p>
    <w:p>
      <w:pPr>
        <w:pStyle w:val="Heading2"/>
        <w:spacing w:after="160" w:before="320"/>
      </w:pPr>
      <w:r>
        <w:rPr>
          <w:rFonts w:ascii="Arial" w:cs="Arial" w:eastAsia="Arial" w:hAnsi="Arial"/>
          <w:b/>
          <w:bCs/>
          <w:color w:val="1F3A5F"/>
          <w:sz w:val="28"/>
          <w:szCs w:val="28"/>
        </w:rPr>
        <w:t xml:space="preserve">7.5  Bloque 5 — Decisión</w:t>
      </w:r>
    </w:p>
    <w:p>
      <w:pPr>
        <w:spacing w:after="120" w:before="60" w:line="300"/>
      </w:pPr>
      <w:r>
        <w:rPr>
          <w:rFonts w:ascii="Arial" w:cs="Arial" w:eastAsia="Arial" w:hAnsi="Arial"/>
          <w:b/>
          <w:bCs/>
          <w:color w:val="2E75B6"/>
          <w:sz w:val="22"/>
          <w:szCs w:val="22"/>
        </w:rPr>
        <w:t xml:space="preserve">Q18. </w:t>
      </w:r>
      <w:r>
        <w:rPr>
          <w:rFonts w:ascii="Arial" w:cs="Arial" w:eastAsia="Arial" w:hAnsi="Arial"/>
          <w:color w:val="2D2D2D"/>
          <w:sz w:val="22"/>
          <w:szCs w:val="22"/>
        </w:rPr>
        <w:t xml:space="preserve">Aplicación del marco: registre el camino del árbol, los puntajes de la matriz y la familia recomendada.</w:t>
      </w:r>
    </w:p>
    <w:p>
      <w:pPr>
        <w:pStyle w:val="Heading2"/>
        <w:spacing w:after="160" w:before="320"/>
      </w:pPr>
      <w:r>
        <w:rPr>
          <w:rFonts w:ascii="Arial" w:cs="Arial" w:eastAsia="Arial" w:hAnsi="Arial"/>
          <w:b/>
          <w:bCs/>
          <w:color w:val="1F3A5F"/>
          <w:sz w:val="28"/>
          <w:szCs w:val="28"/>
        </w:rPr>
        <w:t xml:space="preserve">7.6  Plantilla de salida del cuestionario</w:t>
      </w:r>
    </w:p>
    <w:p>
      <w:pPr>
        <w:spacing w:after="120" w:before="60" w:line="300"/>
      </w:pPr>
      <w:r>
        <w:rPr>
          <w:rFonts w:ascii="Arial" w:cs="Arial" w:eastAsia="Arial" w:hAnsi="Arial"/>
          <w:color w:val="2D2D2D"/>
          <w:sz w:val="22"/>
          <w:szCs w:val="22"/>
        </w:rPr>
        <w:t xml:space="preserve">La salida del cuestionario debe ser un documento de una a dos páginas que registra: definición del problema, recorrido del árbol con justificación de cada bifurcación, puntajes de los diez criterios con nota explicativa, puntajes resultantes por familia, recomendación final, riesgos identificados y plan de mitigación, y firma del patrocinador y del consultor.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8"/>
              <w:bottom w:val="single" w:color="1F3A5F" w:sz="1"/>
              <w:right w:val="single" w:color="1F3A5F" w:sz="1"/>
            </w:tcBorders>
            <w:shd w:fill="F7F9FB" w:val="clear"/>
            <w:tcMar>
              <w:top w:type="dxa" w:w="160"/>
              <w:left w:type="dxa" w:w="200"/>
              <w:bottom w:type="dxa" w:w="160"/>
              <w:right w:type="dxa" w:w="200"/>
            </w:tcMar>
          </w:tcPr>
          <w:p>
            <w:pPr>
              <w:spacing w:after="80" w:before="0"/>
            </w:pPr>
            <w:r>
              <w:rPr>
                <w:rFonts w:ascii="Arial" w:cs="Arial" w:eastAsia="Arial" w:hAnsi="Arial"/>
                <w:b/>
                <w:bCs/>
                <w:color w:val="1F3A5F"/>
                <w:sz w:val="22"/>
                <w:szCs w:val="22"/>
              </w:rPr>
              <w:t xml:space="preserve">Por qué el documento de salida importa</w:t>
            </w:r>
          </w:p>
          <w:p>
            <w:pPr>
              <w:spacing w:after="0" w:before="0" w:line="280"/>
            </w:pPr>
            <w:r>
              <w:rPr>
                <w:rFonts w:ascii="Arial" w:cs="Arial" w:eastAsia="Arial" w:hAnsi="Arial"/>
                <w:color w:val="2D2D2D"/>
                <w:sz w:val="22"/>
                <w:szCs w:val="22"/>
              </w:rPr>
              <w:t xml:space="preserve">Bajo regímenes regulatorios como EU AI Act o ISO 42001, la trazabilidad de la decisión es exigible. El documento de salida del cuestionario es la evidencia primaria de que la decisión se tomó con criterios fundamentados.</w:t>
            </w:r>
          </w:p>
        </w:tc>
      </w:tr>
    </w:tbl>
    <w:p>
      <w:pPr>
        <w:pStyle w:val="Heading1"/>
        <w:pageBreakBefore/>
        <w:spacing w:after="240" w:before="480"/>
      </w:pPr>
      <w:r>
        <w:rPr>
          <w:rFonts w:ascii="Arial" w:cs="Arial" w:eastAsia="Arial" w:hAnsi="Arial"/>
          <w:b/>
          <w:bCs/>
          <w:color w:val="1F3A5F"/>
          <w:sz w:val="36"/>
          <w:szCs w:val="36"/>
        </w:rPr>
        <w:t xml:space="preserve">8. Build vs Buy vs Partner: tabla resumen</w:t>
      </w:r>
    </w:p>
    <w:p>
      <w:pPr>
        <w:spacing w:after="180" w:before="120" w:line="320"/>
      </w:pPr>
      <w:r>
        <w:rPr>
          <w:rFonts w:ascii="Arial" w:cs="Arial" w:eastAsia="Arial" w:hAnsi="Arial"/>
          <w:color w:val="2D2D2D"/>
          <w:sz w:val="24"/>
          <w:szCs w:val="24"/>
        </w:rPr>
        <w:t xml:space="preserve">Una vez decidida la familia de IA, queda definir el modo de adquisición. La tabla resume los criterios que orientan la decisión; la profundización vive en el Módulo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Criterio</w:t>
            </w:r>
          </w:p>
        </w:tc>
        <w:tc>
          <w:tcPr>
            <w:tcW w:type="dxa" w:w="23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Build (interno)</w:t>
            </w:r>
          </w:p>
        </w:tc>
        <w:tc>
          <w:tcPr>
            <w:tcW w:type="dxa" w:w="23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Buy (producto)</w:t>
            </w:r>
          </w:p>
        </w:tc>
        <w:tc>
          <w:tcPr>
            <w:tcW w:type="dxa" w:w="23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Partner (consultor/integrador)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Diferenciación competitiva</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Alta — el caso es core del negocio y la ventaja viene del modelo</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Baja — caso commodity disponible en el mercado</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Media — diferenciación en la integración o en datos propios</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Velocidad a producción</w:t>
            </w:r>
          </w:p>
        </w:tc>
        <w:tc>
          <w:tcPr>
            <w:tcW w:type="dxa" w:w="2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Lenta (12-24 meses)</w:t>
            </w:r>
          </w:p>
        </w:tc>
        <w:tc>
          <w:tcPr>
            <w:tcW w:type="dxa" w:w="2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Rápida (semanas a 3 meses)</w:t>
            </w:r>
          </w:p>
        </w:tc>
        <w:tc>
          <w:tcPr>
            <w:tcW w:type="dxa" w:w="2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Media (3-9 meses)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Costo inicial</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Alto (talento + infraestructura)</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Bajo a medio (licencias)</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Medio (proyecto + licencias)</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Costo total a 3 años</w:t>
            </w:r>
          </w:p>
        </w:tc>
        <w:tc>
          <w:tcPr>
            <w:tcW w:type="dxa" w:w="2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Predecible si hay talento; alto si no</w:t>
            </w:r>
          </w:p>
        </w:tc>
        <w:tc>
          <w:tcPr>
            <w:tcW w:type="dxa" w:w="2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Crece con uso/usuarios</w:t>
            </w:r>
          </w:p>
        </w:tc>
        <w:tc>
          <w:tcPr>
            <w:tcW w:type="dxa" w:w="2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Medio; depende del nivel de soporte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Talento requerido</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Equipo completo de ML/DS y MLOps</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Mínimo: configuración y administración</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Selectivo: producto + integración</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Control y propiedad</w:t>
            </w:r>
          </w:p>
        </w:tc>
        <w:tc>
          <w:tcPr>
            <w:tcW w:type="dxa" w:w="2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Total del modelo, datos y arquitectura</w:t>
            </w:r>
          </w:p>
        </w:tc>
        <w:tc>
          <w:tcPr>
            <w:tcW w:type="dxa" w:w="2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Limitado; sujeto al proveedor</w:t>
            </w:r>
          </w:p>
        </w:tc>
        <w:tc>
          <w:tcPr>
            <w:tcW w:type="dxa" w:w="2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Compartido; depende del contrato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Sensibilidad de datos</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Mejor para datos altamente sensibles (auto-alojado)</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Aceptable si el proveedor ofrece hosting privado o on-prem</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Aceptable si el partner cumple controles de seguridad del cliente</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Riesgo principal</w:t>
            </w:r>
          </w:p>
        </w:tc>
        <w:tc>
          <w:tcPr>
            <w:tcW w:type="dxa" w:w="2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Sobrecostos, retrasos, atracción de talento</w:t>
            </w:r>
          </w:p>
        </w:tc>
        <w:tc>
          <w:tcPr>
            <w:tcW w:type="dxa" w:w="2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Lock-in, dependencia, evolución del producto</w:t>
            </w:r>
          </w:p>
        </w:tc>
        <w:tc>
          <w:tcPr>
            <w:tcW w:type="dxa" w:w="2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Calidad del partner, gestión del conocimiento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Cuándo elegirlo</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El caso es ventaja competitiva durable y hay madurez interna</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El caso es necesidad operativa estándar y existe oferta robusta</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Capacidad interna en construcción y se quiere acelerar</w:t>
            </w:r>
          </w:p>
        </w:tc>
      </w:tr>
    </w:tbl>
    <w:p>
      <w:pPr>
        <w:spacing w:after="0" w:before="240"/>
      </w:pPr>
      <w:r>
        <w:rPr>
          <w:rFonts w:ascii="Arial" w:cs="Arial" w:eastAsia="Arial" w:hAnsi="Arial"/>
        </w:rPr>
        <w:t xml:space="preserve"/>
      </w:r>
    </w:p>
    <w:p>
      <w:pPr>
        <w:pStyle w:val="Heading2"/>
        <w:spacing w:after="160" w:before="320"/>
      </w:pPr>
      <w:r>
        <w:rPr>
          <w:rFonts w:ascii="Arial" w:cs="Arial" w:eastAsia="Arial" w:hAnsi="Arial"/>
          <w:b/>
          <w:bCs/>
          <w:color w:val="1F3A5F"/>
          <w:sz w:val="28"/>
          <w:szCs w:val="28"/>
        </w:rPr>
        <w:t xml:space="preserve">8.1  Reglas prácticas</w:t>
      </w:r>
    </w:p>
    <w:p>
      <w:pPr>
        <w:pStyle w:val="ListParagraph"/>
        <w:numPr>
          <w:ilvl w:val="0"/>
          <w:numId w:val="2"/>
        </w:numPr>
        <w:spacing w:after="80" w:before="40" w:line="280"/>
      </w:pPr>
      <w:r>
        <w:rPr>
          <w:rFonts w:ascii="Arial" w:cs="Arial" w:eastAsia="Arial" w:hAnsi="Arial"/>
          <w:b/>
          <w:bCs/>
        </w:rPr>
        <w:t xml:space="preserve">Empezar por Buy o Partner para los primeros casos: </w:t>
      </w:r>
      <w:r>
        <w:rPr>
          <w:rFonts w:ascii="Arial" w:cs="Arial" w:eastAsia="Arial" w:hAnsi="Arial"/>
          <w:color w:val="2D2D2D"/>
          <w:sz w:val="22"/>
          <w:szCs w:val="22"/>
        </w:rPr>
        <w:t xml:space="preserve">acelera aprendizaje y reduce riesgo de talento. Build se justifica cuando hay madurez probada y diferenciación clara.</w:t>
      </w:r>
    </w:p>
    <w:p>
      <w:pPr>
        <w:pStyle w:val="ListParagraph"/>
        <w:numPr>
          <w:ilvl w:val="0"/>
          <w:numId w:val="2"/>
        </w:numPr>
        <w:spacing w:after="80" w:before="40" w:line="280"/>
      </w:pPr>
      <w:r>
        <w:rPr>
          <w:rFonts w:ascii="Arial" w:cs="Arial" w:eastAsia="Arial" w:hAnsi="Arial"/>
          <w:b/>
          <w:bCs/>
        </w:rPr>
        <w:t xml:space="preserve">Híbrido es válido: </w:t>
      </w:r>
      <w:r>
        <w:rPr>
          <w:rFonts w:ascii="Arial" w:cs="Arial" w:eastAsia="Arial" w:hAnsi="Arial"/>
          <w:color w:val="2D2D2D"/>
          <w:sz w:val="22"/>
          <w:szCs w:val="22"/>
        </w:rPr>
        <w:t xml:space="preserve">usar producto comercial para componentes commodity (autenticación, OCR, transcripción) y construir lo diferencial.</w:t>
      </w:r>
    </w:p>
    <w:p>
      <w:pPr>
        <w:pStyle w:val="ListParagraph"/>
        <w:numPr>
          <w:ilvl w:val="0"/>
          <w:numId w:val="2"/>
        </w:numPr>
        <w:spacing w:after="80" w:before="40" w:line="280"/>
      </w:pPr>
      <w:r>
        <w:rPr>
          <w:rFonts w:ascii="Arial" w:cs="Arial" w:eastAsia="Arial" w:hAnsi="Arial"/>
          <w:b/>
          <w:bCs/>
        </w:rPr>
        <w:t xml:space="preserve">Reversibilidad de la decisión: </w:t>
      </w:r>
      <w:r>
        <w:rPr>
          <w:rFonts w:ascii="Arial" w:cs="Arial" w:eastAsia="Arial" w:hAnsi="Arial"/>
          <w:color w:val="2D2D2D"/>
          <w:sz w:val="22"/>
          <w:szCs w:val="22"/>
        </w:rPr>
        <w:t xml:space="preserve">preferir arquitecturas que permitan cambiar de modo de adquisición sin reescribir todo el sistema (modularidad por capas).</w:t>
      </w:r>
    </w:p>
    <w:p>
      <w:pPr>
        <w:pStyle w:val="ListParagraph"/>
        <w:numPr>
          <w:ilvl w:val="0"/>
          <w:numId w:val="2"/>
        </w:numPr>
        <w:spacing w:after="80" w:before="40" w:line="280"/>
      </w:pPr>
      <w:r>
        <w:rPr>
          <w:rFonts w:ascii="Arial" w:cs="Arial" w:eastAsia="Arial" w:hAnsi="Arial"/>
          <w:b/>
          <w:bCs/>
        </w:rPr>
        <w:t xml:space="preserve">Gobernanza contractual: </w:t>
      </w:r>
      <w:r>
        <w:rPr>
          <w:rFonts w:ascii="Arial" w:cs="Arial" w:eastAsia="Arial" w:hAnsi="Arial"/>
          <w:color w:val="2D2D2D"/>
          <w:sz w:val="22"/>
          <w:szCs w:val="22"/>
        </w:rPr>
        <w:t xml:space="preserve">en Buy y Partner, exigir cláusulas explícitas sobre uso de datos para entrenamiento, residencia de datos, portabilidad de modelos y SLA de operación.</w:t>
      </w:r>
    </w:p>
    <w:p>
      <w:pPr>
        <w:pStyle w:val="Heading1"/>
        <w:pageBreakBefore/>
        <w:spacing w:after="240" w:before="480"/>
      </w:pPr>
      <w:r>
        <w:rPr>
          <w:rFonts w:ascii="Arial" w:cs="Arial" w:eastAsia="Arial" w:hAnsi="Arial"/>
          <w:b/>
          <w:bCs/>
          <w:color w:val="1F3A5F"/>
          <w:sz w:val="36"/>
          <w:szCs w:val="36"/>
        </w:rPr>
        <w:t xml:space="preserve">9. Marco regulatorio global</w:t>
      </w:r>
    </w:p>
    <w:p>
      <w:pPr>
        <w:spacing w:after="180" w:before="120" w:line="320"/>
      </w:pPr>
      <w:r>
        <w:rPr>
          <w:rFonts w:ascii="Arial" w:cs="Arial" w:eastAsia="Arial" w:hAnsi="Arial"/>
          <w:color w:val="2D2D2D"/>
          <w:sz w:val="24"/>
          <w:szCs w:val="24"/>
        </w:rPr>
        <w:t xml:space="preserve">La regulación de IA es un campo en evolución acelerada. Esta sección sintetiza los marcos relevantes a nivel global y los conecta con los criterios del marco de decisión. No sustituye la asesoría legal especializada, pero permite estructurar la conversación regulatoria desde el inicio del proyecto.</w:t>
      </w:r>
    </w:p>
    <w:p>
      <w:pPr>
        <w:pStyle w:val="Heading2"/>
        <w:spacing w:after="160" w:before="320"/>
      </w:pPr>
      <w:r>
        <w:rPr>
          <w:rFonts w:ascii="Arial" w:cs="Arial" w:eastAsia="Arial" w:hAnsi="Arial"/>
          <w:b/>
          <w:bCs/>
          <w:color w:val="1F3A5F"/>
          <w:sz w:val="28"/>
          <w:szCs w:val="28"/>
        </w:rPr>
        <w:t xml:space="preserve">9.1  Marcos transversales</w:t>
      </w:r>
    </w:p>
    <w:p>
      <w:pPr>
        <w:pStyle w:val="Heading3"/>
        <w:spacing w:after="100" w:before="200"/>
      </w:pPr>
      <w:r>
        <w:rPr>
          <w:rFonts w:ascii="Arial" w:cs="Arial" w:eastAsia="Arial" w:hAnsi="Arial"/>
          <w:b/>
          <w:bCs/>
          <w:color w:val="2E75B6"/>
          <w:sz w:val="24"/>
          <w:szCs w:val="24"/>
        </w:rPr>
        <w:t xml:space="preserve">EU AI Act (Reglamento UE 2024/1689)</w:t>
      </w:r>
    </w:p>
    <w:p>
      <w:pPr>
        <w:spacing w:after="120" w:before="60" w:line="300"/>
      </w:pPr>
      <w:r>
        <w:rPr>
          <w:rFonts w:ascii="Arial" w:cs="Arial" w:eastAsia="Arial" w:hAnsi="Arial"/>
          <w:color w:val="2D2D2D"/>
          <w:sz w:val="22"/>
          <w:szCs w:val="22"/>
        </w:rPr>
        <w:t xml:space="preserve">Primer marco regulatorio integral con vigencia plena escalonada entre 2025 y 2027. Clasifica los sistemas de IA en cuatro categorías de riesgo. Los sistemas prohibidos incluyen scoring social gubernamental, manipulación cognitivo-conductual y categorización biométrica con fines sensibles. Los sistemas de alto riesgo (selección laboral, crédito, dispositivos médicos, educación, justicia, migración, infraestructura crítica) deben cumplir obligaciones de gobernanza de datos, gestión de riesgos, transparencia, supervisión humana y registro. Los sistemas de riesgo limitado, principalmente sistemas que interactúan con personas, deben informar a los usuarios. Los sistemas de riesgo mínimo no tienen obligaciones específicas. El reglamento se aplica extraterritorialmente a cualquier sistema utilizado en la UE.</w:t>
      </w:r>
    </w:p>
    <w:p>
      <w:pPr>
        <w:pStyle w:val="Heading3"/>
        <w:spacing w:after="100" w:before="200"/>
      </w:pPr>
      <w:r>
        <w:rPr>
          <w:rFonts w:ascii="Arial" w:cs="Arial" w:eastAsia="Arial" w:hAnsi="Arial"/>
          <w:b/>
          <w:bCs/>
          <w:color w:val="2E75B6"/>
          <w:sz w:val="24"/>
          <w:szCs w:val="24"/>
        </w:rPr>
        <w:t xml:space="preserve">GDPR (Reglamento UE 2016/679)</w:t>
      </w:r>
    </w:p>
    <w:p>
      <w:pPr>
        <w:spacing w:after="120" w:before="60" w:line="300"/>
      </w:pPr>
      <w:r>
        <w:rPr>
          <w:rFonts w:ascii="Arial" w:cs="Arial" w:eastAsia="Arial" w:hAnsi="Arial"/>
          <w:color w:val="2D2D2D"/>
          <w:sz w:val="22"/>
          <w:szCs w:val="22"/>
        </w:rPr>
        <w:t xml:space="preserve">Se aplica a cualquier procesamiento de datos personales relacionado con sistemas de IA. Las exigencias clave para IA son: base legal explícita para el procesamiento, principio de minimización de datos, derecho a explicación de decisiones automatizadas (artículo 22), evaluaciones de impacto en protección de datos (DPIA) para sistemas de alto riesgo, y restricciones a transferencias internacionales. La intersección con EU AI Act es relevante: muchos sistemas de alto riesgo bajo EU AI Act también requieren DPIA bajo GDPR.</w:t>
      </w:r>
    </w:p>
    <w:p>
      <w:pPr>
        <w:pStyle w:val="Heading3"/>
        <w:spacing w:after="100" w:before="200"/>
      </w:pPr>
      <w:r>
        <w:rPr>
          <w:rFonts w:ascii="Arial" w:cs="Arial" w:eastAsia="Arial" w:hAnsi="Arial"/>
          <w:b/>
          <w:bCs/>
          <w:color w:val="2E75B6"/>
          <w:sz w:val="24"/>
          <w:szCs w:val="24"/>
        </w:rPr>
        <w:t xml:space="preserve">NIST AI Risk Management Framework</w:t>
      </w:r>
    </w:p>
    <w:p>
      <w:pPr>
        <w:spacing w:after="120" w:before="60" w:line="300"/>
      </w:pPr>
      <w:r>
        <w:rPr>
          <w:rFonts w:ascii="Arial" w:cs="Arial" w:eastAsia="Arial" w:hAnsi="Arial"/>
          <w:color w:val="2D2D2D"/>
          <w:sz w:val="22"/>
          <w:szCs w:val="22"/>
        </w:rPr>
        <w:t xml:space="preserve">Marco voluntario estadounidense (publicado 2023, actualizado periódicamente) estructurado en cuatro funciones: gobernar, mapear, medir y gestionar el riesgo. Define características de IA confiable: válida y fiable, segura, robusta, explicable e interpretable, con privacidad mejorada, justa con sesgos gestionados, y responsable y transparente. No es vinculante pero se está adoptando como estándar de facto en sectores regulados de EE. UU. y como referencia internacional.</w:t>
      </w:r>
    </w:p>
    <w:p>
      <w:pPr>
        <w:pStyle w:val="Heading3"/>
        <w:spacing w:after="100" w:before="200"/>
      </w:pPr>
      <w:r>
        <w:rPr>
          <w:rFonts w:ascii="Arial" w:cs="Arial" w:eastAsia="Arial" w:hAnsi="Arial"/>
          <w:b/>
          <w:bCs/>
          <w:color w:val="2E75B6"/>
          <w:sz w:val="24"/>
          <w:szCs w:val="24"/>
        </w:rPr>
        <w:t xml:space="preserve">ISO/IEC 42001:2023</w:t>
      </w:r>
    </w:p>
    <w:p>
      <w:pPr>
        <w:spacing w:after="120" w:before="60" w:line="300"/>
      </w:pPr>
      <w:r>
        <w:rPr>
          <w:rFonts w:ascii="Arial" w:cs="Arial" w:eastAsia="Arial" w:hAnsi="Arial"/>
          <w:color w:val="2D2D2D"/>
          <w:sz w:val="22"/>
          <w:szCs w:val="22"/>
        </w:rPr>
        <w:t xml:space="preserve">Norma internacional para sistemas de gestión de inteligencia artificial. Es certificable. Define requisitos para establecer, implementar, mantener y mejorar continuamente un sistema de gestión de IA en una organización. Sigue la estructura de alto nivel de ISO (compatible con ISO 27001 e ISO 9001). Su adopción es creciente como evidencia de gobernanza ante reguladores y clientes.</w:t>
      </w:r>
    </w:p>
    <w:p>
      <w:pPr>
        <w:pStyle w:val="Heading3"/>
        <w:spacing w:after="100" w:before="200"/>
      </w:pPr>
      <w:r>
        <w:rPr>
          <w:rFonts w:ascii="Arial" w:cs="Arial" w:eastAsia="Arial" w:hAnsi="Arial"/>
          <w:b/>
          <w:bCs/>
          <w:color w:val="2E75B6"/>
          <w:sz w:val="24"/>
          <w:szCs w:val="24"/>
        </w:rPr>
        <w:t xml:space="preserve">Principios OCDE sobre IA (2019, actualizados 2024)</w:t>
      </w:r>
    </w:p>
    <w:p>
      <w:pPr>
        <w:spacing w:after="120" w:before="60" w:line="300"/>
      </w:pPr>
      <w:r>
        <w:rPr>
          <w:rFonts w:ascii="Arial" w:cs="Arial" w:eastAsia="Arial" w:hAnsi="Arial"/>
          <w:color w:val="2D2D2D"/>
          <w:sz w:val="22"/>
          <w:szCs w:val="22"/>
        </w:rPr>
        <w:t xml:space="preserve">Cinco principios de IA confiable: crecimiento inclusivo, valores humanos y equidad, transparencia y explicabilidad, robustez y seguridad, y rendición de cuentas. Adoptados por más de 40 países y referencia obligada en marcos nacionales. Sirven como base ética del marco de decisión.</w:t>
      </w:r>
    </w:p>
    <w:p>
      <w:pPr>
        <w:pStyle w:val="Heading2"/>
        <w:spacing w:after="160" w:before="320"/>
      </w:pPr>
      <w:r>
        <w:rPr>
          <w:rFonts w:ascii="Arial" w:cs="Arial" w:eastAsia="Arial" w:hAnsi="Arial"/>
          <w:b/>
          <w:bCs/>
          <w:color w:val="1F3A5F"/>
          <w:sz w:val="28"/>
          <w:szCs w:val="28"/>
        </w:rPr>
        <w:t xml:space="preserve">9.2  Mapeo regulación → criterios del marco</w:t>
      </w:r>
    </w:p>
    <w:p>
      <w:pPr>
        <w:spacing w:after="120" w:before="60" w:line="300"/>
      </w:pPr>
      <w:r>
        <w:rPr>
          <w:rFonts w:ascii="Arial" w:cs="Arial" w:eastAsia="Arial" w:hAnsi="Arial"/>
          <w:color w:val="2D2D2D"/>
          <w:sz w:val="22"/>
          <w:szCs w:val="22"/>
        </w:rPr>
        <w:t xml:space="preserve">La siguiente tabla orienta cómo cada marco regulatorio impacta los criterios de decisión de la Sección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gridCol w:w="2080"/>
        <w:gridCol w:w="1040"/>
      </w:tblGrid>
      <w:tr>
        <w:trPr>
          <w:tblHeader/>
        </w:trPr>
        <w:tc>
          <w:tcPr>
            <w:tcW w:type="dxa" w:w="20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Marco</w:t>
            </w:r>
          </w:p>
        </w:tc>
        <w:tc>
          <w:tcPr>
            <w:tcW w:type="dxa" w:w="20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Criterios principalmente afectados</w:t>
            </w:r>
          </w:p>
        </w:tc>
        <w:tc>
          <w:tcPr>
            <w:tcW w:type="dxa" w:w="20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Implicaciones de arquitectura</w:t>
            </w:r>
          </w:p>
        </w:tc>
        <w:tc>
          <w:tcPr>
            <w:tcW w:type="dxa" w:w="20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Documentación exigida</w:t>
            </w:r>
          </w:p>
        </w:tc>
        <w:tc>
          <w:tcPr>
            <w:tcW w:type="dxa" w:w="10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Penaliza</w:t>
            </w:r>
          </w:p>
        </w:tc>
      </w:tr>
      <w:tr>
        <w:trPr>
          <w:tblHeader w:val="false"/>
        </w:trPr>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EU AI Act</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Naturaleza del problema, explicabilidad, tolerancia al error, sensibilidad regulatoria</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Sistema de gestión de riesgos, supervisión humana, registro de eventos, datasets de prueba</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Documentación técnica, declaración de conformidad, registro UE</w:t>
            </w:r>
          </w:p>
        </w:tc>
        <w:tc>
          <w:tcPr>
            <w:tcW w:type="dxa" w:w="1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B91C1C"/>
                <w:sz w:val="20"/>
                <w:szCs w:val="20"/>
              </w:rPr>
              <w:t xml:space="preserve">Hasta 7% facturación</w:t>
            </w:r>
          </w:p>
        </w:tc>
      </w:tr>
      <w:tr>
        <w:trPr>
          <w:tblHeader w:val="false"/>
        </w:trPr>
        <w:tc>
          <w:tcPr>
            <w:tcW w:type="dxa" w:w="2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GDPR</w:t>
            </w:r>
          </w:p>
        </w:tc>
        <w:tc>
          <w:tcPr>
            <w:tcW w:type="dxa" w:w="2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Sensibilidad de datos, explicabilidad, naturaleza del problema</w:t>
            </w:r>
          </w:p>
        </w:tc>
        <w:tc>
          <w:tcPr>
            <w:tcW w:type="dxa" w:w="2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Minimización de datos, anonimización, hosting controlado, derechos del titular</w:t>
            </w:r>
          </w:p>
        </w:tc>
        <w:tc>
          <w:tcPr>
            <w:tcW w:type="dxa" w:w="2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DPIA, registros de tratamiento, contratos de procesamiento</w:t>
            </w:r>
          </w:p>
        </w:tc>
        <w:tc>
          <w:tcPr>
            <w:tcW w:type="dxa" w:w="10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B91C1C"/>
                <w:sz w:val="20"/>
                <w:szCs w:val="20"/>
              </w:rPr>
              <w:t xml:space="preserve">Hasta 4% facturación</w:t>
            </w:r>
          </w:p>
        </w:tc>
      </w:tr>
      <w:tr>
        <w:trPr>
          <w:tblHeader w:val="false"/>
        </w:trPr>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NIST AI RMF</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Todos (es un marco integral)</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Procesos formales de gobierno, mapeo, medición y gestión de riesgo</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Perfil de riesgo, plan de gestión, métricas de monitoreo</w:t>
            </w:r>
          </w:p>
        </w:tc>
        <w:tc>
          <w:tcPr>
            <w:tcW w:type="dxa" w:w="1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6B7280"/>
                <w:sz w:val="20"/>
                <w:szCs w:val="20"/>
              </w:rPr>
              <w:t xml:space="preserve">Voluntario</w:t>
            </w:r>
          </w:p>
        </w:tc>
      </w:tr>
      <w:tr>
        <w:trPr>
          <w:tblHeader w:val="false"/>
        </w:trPr>
        <w:tc>
          <w:tcPr>
            <w:tcW w:type="dxa" w:w="2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ISO 42001</w:t>
            </w:r>
          </w:p>
        </w:tc>
        <w:tc>
          <w:tcPr>
            <w:tcW w:type="dxa" w:w="2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Madurez del talento y operación, todos los criterios indirectamente</w:t>
            </w:r>
          </w:p>
        </w:tc>
        <w:tc>
          <w:tcPr>
            <w:tcW w:type="dxa" w:w="2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Sistema de gestión documentado, ciclos de mejora continua</w:t>
            </w:r>
          </w:p>
        </w:tc>
        <w:tc>
          <w:tcPr>
            <w:tcW w:type="dxa" w:w="2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Política de IA, alcance, controles, evidencia de operación</w:t>
            </w:r>
          </w:p>
        </w:tc>
        <w:tc>
          <w:tcPr>
            <w:tcW w:type="dxa" w:w="10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B7791F"/>
                <w:sz w:val="20"/>
                <w:szCs w:val="20"/>
              </w:rPr>
              <w:t xml:space="preserve">Pérdida de certificación</w:t>
            </w:r>
          </w:p>
        </w:tc>
      </w:tr>
      <w:tr>
        <w:trPr>
          <w:tblHeader w:val="false"/>
        </w:trPr>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Principios OCDE</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Marco ético general, todos los criterios</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Principios de diseño embebidos en gobernanza interna</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Política ética declarada y verificable</w:t>
            </w:r>
          </w:p>
        </w:tc>
        <w:tc>
          <w:tcPr>
            <w:tcW w:type="dxa" w:w="1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B7791F"/>
                <w:sz w:val="20"/>
                <w:szCs w:val="20"/>
              </w:rPr>
              <w:t xml:space="preserve">Reputacional</w:t>
            </w:r>
          </w:p>
        </w:tc>
      </w:tr>
    </w:tbl>
    <w:p>
      <w:pPr>
        <w:spacing w:after="0" w:before="240"/>
      </w:pPr>
      <w:r>
        <w:rPr>
          <w:rFonts w:ascii="Arial" w:cs="Arial" w:eastAsia="Arial" w:hAnsi="Arial"/>
        </w:rPr>
        <w:t xml:space="preserve"/>
      </w:r>
    </w:p>
    <w:p>
      <w:pPr>
        <w:pStyle w:val="Heading2"/>
        <w:spacing w:after="160" w:before="320"/>
      </w:pPr>
      <w:r>
        <w:rPr>
          <w:rFonts w:ascii="Arial" w:cs="Arial" w:eastAsia="Arial" w:hAnsi="Arial"/>
          <w:b/>
          <w:bCs/>
          <w:color w:val="1F3A5F"/>
          <w:sz w:val="28"/>
          <w:szCs w:val="28"/>
        </w:rPr>
        <w:t xml:space="preserve">9.3  Regulaciones sectoriales que conviene rastrear</w:t>
      </w:r>
    </w:p>
    <w:p>
      <w:pPr>
        <w:pStyle w:val="ListParagraph"/>
        <w:numPr>
          <w:ilvl w:val="0"/>
          <w:numId w:val="2"/>
        </w:numPr>
        <w:spacing w:after="80" w:before="40" w:line="280"/>
      </w:pPr>
      <w:r>
        <w:rPr>
          <w:rFonts w:ascii="Arial" w:cs="Arial" w:eastAsia="Arial" w:hAnsi="Arial"/>
          <w:b/>
          <w:bCs/>
        </w:rPr>
        <w:t xml:space="preserve">Servicios financieros: </w:t>
      </w:r>
      <w:r>
        <w:rPr>
          <w:rFonts w:ascii="Arial" w:cs="Arial" w:eastAsia="Arial" w:hAnsi="Arial"/>
          <w:color w:val="2D2D2D"/>
          <w:sz w:val="22"/>
          <w:szCs w:val="22"/>
        </w:rPr>
        <w:t xml:space="preserve">guías sectoriales de bancos centrales y supervisores (modelo de gobierno de IA, fairness en decisiones crediticias, robustez de modelos).</w:t>
      </w:r>
    </w:p>
    <w:p>
      <w:pPr>
        <w:pStyle w:val="ListParagraph"/>
        <w:numPr>
          <w:ilvl w:val="0"/>
          <w:numId w:val="2"/>
        </w:numPr>
        <w:spacing w:after="80" w:before="40" w:line="280"/>
      </w:pPr>
      <w:r>
        <w:rPr>
          <w:rFonts w:ascii="Arial" w:cs="Arial" w:eastAsia="Arial" w:hAnsi="Arial"/>
          <w:b/>
          <w:bCs/>
        </w:rPr>
        <w:t xml:space="preserve">Salud: </w:t>
      </w:r>
      <w:r>
        <w:rPr>
          <w:rFonts w:ascii="Arial" w:cs="Arial" w:eastAsia="Arial" w:hAnsi="Arial"/>
          <w:color w:val="2D2D2D"/>
          <w:sz w:val="22"/>
          <w:szCs w:val="22"/>
        </w:rPr>
        <w:t xml:space="preserve">regulaciones de dispositivos médicos (FDA, EMA, ANMAT, COFEPRIS, INVIMA) cuando el sistema cae en la categoría de software como dispositivo médico (SaMD).</w:t>
      </w:r>
    </w:p>
    <w:p>
      <w:pPr>
        <w:pStyle w:val="ListParagraph"/>
        <w:numPr>
          <w:ilvl w:val="0"/>
          <w:numId w:val="2"/>
        </w:numPr>
        <w:spacing w:after="80" w:before="40" w:line="280"/>
      </w:pPr>
      <w:r>
        <w:rPr>
          <w:rFonts w:ascii="Arial" w:cs="Arial" w:eastAsia="Arial" w:hAnsi="Arial"/>
          <w:b/>
          <w:bCs/>
        </w:rPr>
        <w:t xml:space="preserve">Empleo y selección de personal: </w:t>
      </w:r>
      <w:r>
        <w:rPr>
          <w:rFonts w:ascii="Arial" w:cs="Arial" w:eastAsia="Arial" w:hAnsi="Arial"/>
          <w:color w:val="2D2D2D"/>
          <w:sz w:val="22"/>
          <w:szCs w:val="22"/>
        </w:rPr>
        <w:t xml:space="preserve">Nueva York AEDT, EU AI Act como alto riesgo, regulaciones nacionales de protección de datos laborales.</w:t>
      </w:r>
    </w:p>
    <w:p>
      <w:pPr>
        <w:pStyle w:val="ListParagraph"/>
        <w:numPr>
          <w:ilvl w:val="0"/>
          <w:numId w:val="2"/>
        </w:numPr>
        <w:spacing w:after="80" w:before="40" w:line="280"/>
      </w:pPr>
      <w:r>
        <w:rPr>
          <w:rFonts w:ascii="Arial" w:cs="Arial" w:eastAsia="Arial" w:hAnsi="Arial"/>
          <w:b/>
          <w:bCs/>
        </w:rPr>
        <w:t xml:space="preserve">Sector público: </w:t>
      </w:r>
      <w:r>
        <w:rPr>
          <w:rFonts w:ascii="Arial" w:cs="Arial" w:eastAsia="Arial" w:hAnsi="Arial"/>
          <w:color w:val="2D2D2D"/>
          <w:sz w:val="22"/>
          <w:szCs w:val="22"/>
        </w:rPr>
        <w:t xml:space="preserve">requisitos de auditabilidad, contratación pública con criterios de transparencia algorítmica.</w:t>
      </w:r>
    </w:p>
    <w:p>
      <w:pPr>
        <w:pStyle w:val="Heading2"/>
        <w:spacing w:after="160" w:before="320"/>
      </w:pPr>
      <w:r>
        <w:rPr>
          <w:rFonts w:ascii="Arial" w:cs="Arial" w:eastAsia="Arial" w:hAnsi="Arial"/>
          <w:b/>
          <w:bCs/>
          <w:color w:val="1F3A5F"/>
          <w:sz w:val="28"/>
          <w:szCs w:val="28"/>
        </w:rPr>
        <w:t xml:space="preserve">9.4  Reglas prácticas de aplicación</w:t>
      </w:r>
    </w:p>
    <w:p>
      <w:pPr>
        <w:spacing w:after="120" w:before="60" w:line="300"/>
      </w:pPr>
      <w:r>
        <w:rPr>
          <w:rFonts w:ascii="Arial" w:cs="Arial" w:eastAsia="Arial" w:hAnsi="Arial"/>
          <w:color w:val="2D2D2D"/>
          <w:sz w:val="22"/>
          <w:szCs w:val="22"/>
        </w:rPr>
        <w:t xml:space="preserve">Antes de cerrar la decisión de familia y arquitectura, el equipo debe responder cuatro preguntas regulatorias mínimas. ¿En qué jurisdicciones se opera el sistema? ¿Procesa datos personales o sensibles? ¿Toma decisiones que afectan derechos o acceso a servicios? ¿Existe oferta sectorial específica que aplique? Las respuestas determinan el conjunto de marcos a contemplar y la gravedad de las restricciones a la decisión.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8"/>
              <w:bottom w:val="single" w:color="1F3A5F" w:sz="1"/>
              <w:right w:val="single" w:color="1F3A5F" w:sz="1"/>
            </w:tcBorders>
            <w:shd w:fill="F7F9FB" w:val="clear"/>
            <w:tcMar>
              <w:top w:type="dxa" w:w="160"/>
              <w:left w:type="dxa" w:w="200"/>
              <w:bottom w:type="dxa" w:w="160"/>
              <w:right w:type="dxa" w:w="200"/>
            </w:tcMar>
          </w:tcPr>
          <w:p>
            <w:pPr>
              <w:spacing w:after="80" w:before="0"/>
            </w:pPr>
            <w:r>
              <w:rPr>
                <w:rFonts w:ascii="Arial" w:cs="Arial" w:eastAsia="Arial" w:hAnsi="Arial"/>
                <w:b/>
                <w:bCs/>
                <w:color w:val="1F3A5F"/>
                <w:sz w:val="22"/>
                <w:szCs w:val="22"/>
              </w:rPr>
              <w:t xml:space="preserve">Salida regulatoria del marco</w:t>
            </w:r>
          </w:p>
          <w:p>
            <w:pPr>
              <w:spacing w:after="0" w:before="0" w:line="280"/>
            </w:pPr>
            <w:r>
              <w:rPr>
                <w:rFonts w:ascii="Arial" w:cs="Arial" w:eastAsia="Arial" w:hAnsi="Arial"/>
                <w:color w:val="2D2D2D"/>
                <w:sz w:val="22"/>
                <w:szCs w:val="22"/>
              </w:rPr>
              <w:t xml:space="preserve">El documento de decisión debe incluir, como sección obligatoria, la identificación de los marcos regulatorios aplicables, la categoría de riesgo del sistema bajo cada marco, y las obligaciones documentales y operativas que se derivan. Esa sección suele ser la diferencia entre un proyecto que escala y uno que se bloquea en compliance.</w:t>
            </w:r>
          </w:p>
        </w:tc>
      </w:tr>
    </w:tbl>
    <w:p>
      <w:pPr>
        <w:pStyle w:val="Heading1"/>
        <w:pageBreakBefore/>
        <w:spacing w:after="240" w:before="480"/>
      </w:pPr>
      <w:r>
        <w:rPr>
          <w:rFonts w:ascii="Arial" w:cs="Arial" w:eastAsia="Arial" w:hAnsi="Arial"/>
          <w:b/>
          <w:bCs/>
          <w:color w:val="1F3A5F"/>
          <w:sz w:val="36"/>
          <w:szCs w:val="36"/>
        </w:rPr>
        <w:t xml:space="preserve">10. Ejemplos hipotéticos resueltos</w:t>
      </w:r>
    </w:p>
    <w:p>
      <w:pPr>
        <w:spacing w:after="180" w:before="120" w:line="320"/>
      </w:pPr>
      <w:r>
        <w:rPr>
          <w:rFonts w:ascii="Arial" w:cs="Arial" w:eastAsia="Arial" w:hAnsi="Arial"/>
          <w:color w:val="2D2D2D"/>
          <w:sz w:val="24"/>
          <w:szCs w:val="24"/>
        </w:rPr>
        <w:t xml:space="preserve">Tres casos que ilustran el uso del marco. Son hipotéticos y vendor-agnósticos; sirven como referencia metodológica, no como recomendación tecnológica para casos reales.</w:t>
      </w:r>
    </w:p>
    <w:p>
      <w:pPr>
        <w:pStyle w:val="Heading2"/>
        <w:spacing w:after="160" w:before="320"/>
      </w:pPr>
      <w:r>
        <w:rPr>
          <w:rFonts w:ascii="Arial" w:cs="Arial" w:eastAsia="Arial" w:hAnsi="Arial"/>
          <w:b/>
          <w:bCs/>
          <w:color w:val="1F3A5F"/>
          <w:sz w:val="28"/>
          <w:szCs w:val="28"/>
        </w:rPr>
        <w:t xml:space="preserve">10.1  Caso 1 — Automatización de aprobación de gastos corporativos</w:t>
      </w:r>
    </w:p>
    <w:p>
      <w:pPr>
        <w:pStyle w:val="Heading3"/>
        <w:spacing w:after="100" w:before="200"/>
      </w:pPr>
      <w:r>
        <w:rPr>
          <w:rFonts w:ascii="Arial" w:cs="Arial" w:eastAsia="Arial" w:hAnsi="Arial"/>
          <w:b/>
          <w:bCs/>
          <w:color w:val="2E75B6"/>
          <w:sz w:val="24"/>
          <w:szCs w:val="24"/>
        </w:rPr>
        <w:t xml:space="preserve">Descripción del problema</w:t>
      </w:r>
    </w:p>
    <w:p>
      <w:pPr>
        <w:spacing w:after="120" w:before="60" w:line="300"/>
      </w:pPr>
      <w:r>
        <w:rPr>
          <w:rFonts w:ascii="Arial" w:cs="Arial" w:eastAsia="Arial" w:hAnsi="Arial"/>
          <w:color w:val="2D2D2D"/>
          <w:sz w:val="22"/>
          <w:szCs w:val="22"/>
        </w:rPr>
        <w:t xml:space="preserve">Una empresa multinacional procesa 50.000 reembolsos de gastos al mes. Las políticas son explícitas y estables (límites por categoría, requisitos de comprobante, autorizaciones por monto). El proceso actual es manual y produce tiempos de aprobación de cinco días promedio. El objetivo es automatizar las aprobaciones que cumplen políticas y mantener revisión humana solo para excepciones.</w:t>
      </w:r>
    </w:p>
    <w:p>
      <w:pPr>
        <w:pStyle w:val="Heading3"/>
        <w:spacing w:after="100" w:before="200"/>
      </w:pPr>
      <w:r>
        <w:rPr>
          <w:rFonts w:ascii="Arial" w:cs="Arial" w:eastAsia="Arial" w:hAnsi="Arial"/>
          <w:b/>
          <w:bCs/>
          <w:color w:val="2E75B6"/>
          <w:sz w:val="24"/>
          <w:szCs w:val="24"/>
        </w:rPr>
        <w:t xml:space="preserve">Recorrido del marco</w:t>
      </w:r>
    </w:p>
    <w:p>
      <w:pPr>
        <w:pStyle w:val="ListParagraph"/>
        <w:numPr>
          <w:ilvl w:val="0"/>
          <w:numId w:val="2"/>
        </w:numPr>
        <w:spacing w:after="80" w:before="40" w:line="280"/>
      </w:pPr>
      <w:r>
        <w:rPr>
          <w:rFonts w:ascii="Arial" w:cs="Arial" w:eastAsia="Arial" w:hAnsi="Arial"/>
          <w:b/>
          <w:bCs/>
        </w:rPr>
        <w:t xml:space="preserve">Pregunta 1 del árbol: </w:t>
      </w:r>
      <w:r>
        <w:rPr>
          <w:rFonts w:ascii="Arial" w:cs="Arial" w:eastAsia="Arial" w:hAnsi="Arial"/>
          <w:color w:val="2D2D2D"/>
          <w:sz w:val="22"/>
          <w:szCs w:val="22"/>
        </w:rPr>
        <w:t xml:space="preserve">Sí, las reglas son conocidas y estables. → continuar a P1 secundaria.</w:t>
      </w:r>
    </w:p>
    <w:p>
      <w:pPr>
        <w:pStyle w:val="ListParagraph"/>
        <w:numPr>
          <w:ilvl w:val="0"/>
          <w:numId w:val="2"/>
        </w:numPr>
        <w:spacing w:after="80" w:before="40" w:line="280"/>
      </w:pPr>
      <w:r>
        <w:rPr>
          <w:rFonts w:ascii="Arial" w:cs="Arial" w:eastAsia="Arial" w:hAnsi="Arial"/>
          <w:b/>
          <w:bCs/>
        </w:rPr>
        <w:t xml:space="preserve">¿Cambian con frecuencia? </w:t>
      </w:r>
      <w:r>
        <w:rPr>
          <w:rFonts w:ascii="Arial" w:cs="Arial" w:eastAsia="Arial" w:hAnsi="Arial"/>
          <w:color w:val="2D2D2D"/>
          <w:sz w:val="22"/>
          <w:szCs w:val="22"/>
        </w:rPr>
        <w:t xml:space="preserve">No, cambian 1-2 veces por año. → Familia A · Reglas y automatización clásica.</w:t>
      </w:r>
    </w:p>
    <w:p>
      <w:pPr>
        <w:pStyle w:val="ListParagraph"/>
        <w:numPr>
          <w:ilvl w:val="0"/>
          <w:numId w:val="2"/>
        </w:numPr>
        <w:spacing w:after="80" w:before="40" w:line="280"/>
      </w:pPr>
      <w:r>
        <w:rPr>
          <w:rFonts w:ascii="Arial" w:cs="Arial" w:eastAsia="Arial" w:hAnsi="Arial"/>
          <w:b/>
          <w:bCs/>
        </w:rPr>
        <w:t xml:space="preserve">Validación con matriz: </w:t>
      </w:r>
      <w:r>
        <w:rPr>
          <w:rFonts w:ascii="Arial" w:cs="Arial" w:eastAsia="Arial" w:hAnsi="Arial"/>
          <w:color w:val="2D2D2D"/>
          <w:sz w:val="22"/>
          <w:szCs w:val="22"/>
        </w:rPr>
        <w:t xml:space="preserve">Reglas obtiene 88; ML 55; GenAI 40. Diferencia mayor a 20: decisión clara.</w:t>
      </w:r>
    </w:p>
    <w:p>
      <w:pPr>
        <w:pStyle w:val="Heading3"/>
        <w:spacing w:after="100" w:before="200"/>
      </w:pPr>
      <w:r>
        <w:rPr>
          <w:rFonts w:ascii="Arial" w:cs="Arial" w:eastAsia="Arial" w:hAnsi="Arial"/>
          <w:b/>
          <w:bCs/>
          <w:color w:val="2E75B6"/>
          <w:sz w:val="24"/>
          <w:szCs w:val="24"/>
        </w:rPr>
        <w:t xml:space="preserve">Recomendación</w:t>
      </w:r>
    </w:p>
    <w:p>
      <w:pPr>
        <w:spacing w:after="120" w:before="60" w:line="300"/>
      </w:pPr>
      <w:r>
        <w:rPr>
          <w:rFonts w:ascii="Arial" w:cs="Arial" w:eastAsia="Arial" w:hAnsi="Arial"/>
          <w:color w:val="2D2D2D"/>
          <w:sz w:val="22"/>
          <w:szCs w:val="22"/>
        </w:rPr>
        <w:t xml:space="preserve">Familia A con motor de reglas + RPA para integración con sistemas legacy. Componente híbrido menor: extracción de datos de comprobantes (OCR estructurado para campos típicos; OCR + LLM para excepciones de comprobantes mal escaneados o en idiomas múltiples). Capa de monitoreo para detectar deriva en patrones de gasto que pudiera indicar fraude (ML no supervisado en una segunda fase, no en el MVP).</w:t>
      </w:r>
    </w:p>
    <w:p>
      <w:pPr>
        <w:pStyle w:val="Heading3"/>
        <w:spacing w:after="100" w:before="200"/>
      </w:pPr>
      <w:r>
        <w:rPr>
          <w:rFonts w:ascii="Arial" w:cs="Arial" w:eastAsia="Arial" w:hAnsi="Arial"/>
          <w:b/>
          <w:bCs/>
          <w:color w:val="2E75B6"/>
          <w:sz w:val="24"/>
          <w:szCs w:val="24"/>
        </w:rPr>
        <w:t xml:space="preserve">Riesgos a gestionar</w:t>
      </w:r>
    </w:p>
    <w:p>
      <w:pPr>
        <w:pStyle w:val="ListParagraph"/>
        <w:numPr>
          <w:ilvl w:val="0"/>
          <w:numId w:val="2"/>
        </w:numPr>
        <w:spacing w:after="80" w:before="40" w:line="280"/>
      </w:pPr>
      <w:r>
        <w:rPr>
          <w:rFonts w:ascii="Arial" w:cs="Arial" w:eastAsia="Arial" w:hAnsi="Arial"/>
          <w:color w:val="2D2D2D"/>
          <w:sz w:val="22"/>
          <w:szCs w:val="22"/>
        </w:rPr>
        <w:t xml:space="preserve">Mantenimiento de reglas conforme cambian políticas; gobierno de cambios formal.</w:t>
      </w:r>
    </w:p>
    <w:p>
      <w:pPr>
        <w:pStyle w:val="ListParagraph"/>
        <w:numPr>
          <w:ilvl w:val="0"/>
          <w:numId w:val="2"/>
        </w:numPr>
        <w:spacing w:after="80" w:before="40" w:line="280"/>
      </w:pPr>
      <w:r>
        <w:rPr>
          <w:rFonts w:ascii="Arial" w:cs="Arial" w:eastAsia="Arial" w:hAnsi="Arial"/>
          <w:color w:val="2D2D2D"/>
          <w:sz w:val="22"/>
          <w:szCs w:val="22"/>
        </w:rPr>
        <w:t xml:space="preserve">Auditoría: registros completos de cada decisión automatizada para cumplimiento.</w:t>
      </w:r>
    </w:p>
    <w:p>
      <w:pPr>
        <w:pStyle w:val="ListParagraph"/>
        <w:numPr>
          <w:ilvl w:val="0"/>
          <w:numId w:val="2"/>
        </w:numPr>
        <w:spacing w:after="80" w:before="40" w:line="280"/>
      </w:pPr>
      <w:r>
        <w:rPr>
          <w:rFonts w:ascii="Arial" w:cs="Arial" w:eastAsia="Arial" w:hAnsi="Arial"/>
          <w:color w:val="2D2D2D"/>
          <w:sz w:val="22"/>
          <w:szCs w:val="22"/>
        </w:rPr>
        <w:t xml:space="preserve">Excepciones: ruteo claro a aprobador humano cuando regla no aplica unívocamente.</w:t>
      </w:r>
    </w:p>
    <w:p>
      <w:pPr>
        <w:pStyle w:val="Heading2"/>
        <w:spacing w:after="160" w:before="320"/>
      </w:pPr>
      <w:r>
        <w:rPr>
          <w:rFonts w:ascii="Arial" w:cs="Arial" w:eastAsia="Arial" w:hAnsi="Arial"/>
          <w:b/>
          <w:bCs/>
          <w:color w:val="1F3A5F"/>
          <w:sz w:val="28"/>
          <w:szCs w:val="28"/>
        </w:rPr>
        <w:t xml:space="preserve">10.2  Caso 2 — Predicción de churn en una empresa de servicios suscritos</w:t>
      </w:r>
    </w:p>
    <w:p>
      <w:pPr>
        <w:pStyle w:val="Heading3"/>
        <w:spacing w:after="100" w:before="200"/>
      </w:pPr>
      <w:r>
        <w:rPr>
          <w:rFonts w:ascii="Arial" w:cs="Arial" w:eastAsia="Arial" w:hAnsi="Arial"/>
          <w:b/>
          <w:bCs/>
          <w:color w:val="2E75B6"/>
          <w:sz w:val="24"/>
          <w:szCs w:val="24"/>
        </w:rPr>
        <w:t xml:space="preserve">Descripción del problema</w:t>
      </w:r>
    </w:p>
    <w:p>
      <w:pPr>
        <w:spacing w:after="120" w:before="60" w:line="300"/>
      </w:pPr>
      <w:r>
        <w:rPr>
          <w:rFonts w:ascii="Arial" w:cs="Arial" w:eastAsia="Arial" w:hAnsi="Arial"/>
          <w:color w:val="2D2D2D"/>
          <w:sz w:val="22"/>
          <w:szCs w:val="22"/>
        </w:rPr>
        <w:t xml:space="preserve">Una empresa de telecomunicaciones con cinco millones de suscriptores quiere predecir qué clientes están en riesgo de cancelar el servicio en los próximos 60 días, para orientar acciones de retención. Existen ocho años de datos históricos: contratos, consumo, pagos, contactos con servicio al cliente, NPS. La empresa tiene equipo de ciencia de datos.</w:t>
      </w:r>
    </w:p>
    <w:p>
      <w:pPr>
        <w:pStyle w:val="Heading3"/>
        <w:spacing w:after="100" w:before="200"/>
      </w:pPr>
      <w:r>
        <w:rPr>
          <w:rFonts w:ascii="Arial" w:cs="Arial" w:eastAsia="Arial" w:hAnsi="Arial"/>
          <w:b/>
          <w:bCs/>
          <w:color w:val="2E75B6"/>
          <w:sz w:val="24"/>
          <w:szCs w:val="24"/>
        </w:rPr>
        <w:t xml:space="preserve">Recorrido del marco</w:t>
      </w:r>
    </w:p>
    <w:p>
      <w:pPr>
        <w:pStyle w:val="ListParagraph"/>
        <w:numPr>
          <w:ilvl w:val="0"/>
          <w:numId w:val="2"/>
        </w:numPr>
        <w:spacing w:after="80" w:before="40" w:line="280"/>
      </w:pPr>
      <w:r>
        <w:rPr>
          <w:rFonts w:ascii="Arial" w:cs="Arial" w:eastAsia="Arial" w:hAnsi="Arial"/>
          <w:b/>
          <w:bCs/>
        </w:rPr>
        <w:t xml:space="preserve">Pregunta 1: </w:t>
      </w:r>
      <w:r>
        <w:rPr>
          <w:rFonts w:ascii="Arial" w:cs="Arial" w:eastAsia="Arial" w:hAnsi="Arial"/>
          <w:color w:val="2D2D2D"/>
          <w:sz w:val="22"/>
          <w:szCs w:val="22"/>
        </w:rPr>
        <w:t xml:space="preserve">No, no hay reglas estables que predigan churn con precisión. → continuar a P2.</w:t>
      </w:r>
    </w:p>
    <w:p>
      <w:pPr>
        <w:pStyle w:val="ListParagraph"/>
        <w:numPr>
          <w:ilvl w:val="0"/>
          <w:numId w:val="2"/>
        </w:numPr>
        <w:spacing w:after="80" w:before="40" w:line="280"/>
      </w:pPr>
      <w:r>
        <w:rPr>
          <w:rFonts w:ascii="Arial" w:cs="Arial" w:eastAsia="Arial" w:hAnsi="Arial"/>
          <w:b/>
          <w:bCs/>
        </w:rPr>
        <w:t xml:space="preserve">Pregunta 2: </w:t>
      </w:r>
      <w:r>
        <w:rPr>
          <w:rFonts w:ascii="Arial" w:cs="Arial" w:eastAsia="Arial" w:hAnsi="Arial"/>
          <w:color w:val="2D2D2D"/>
          <w:sz w:val="22"/>
          <w:szCs w:val="22"/>
        </w:rPr>
        <w:t xml:space="preserve">Sí, datos históricos abundantes y etiquetados (ya se observa quién canceló). → P3.</w:t>
      </w:r>
    </w:p>
    <w:p>
      <w:pPr>
        <w:pStyle w:val="ListParagraph"/>
        <w:numPr>
          <w:ilvl w:val="0"/>
          <w:numId w:val="2"/>
        </w:numPr>
        <w:spacing w:after="80" w:before="40" w:line="280"/>
      </w:pPr>
      <w:r>
        <w:rPr>
          <w:rFonts w:ascii="Arial" w:cs="Arial" w:eastAsia="Arial" w:hAnsi="Arial"/>
          <w:b/>
          <w:bCs/>
        </w:rPr>
        <w:t xml:space="preserve">Pregunta 3: </w:t>
      </w:r>
      <w:r>
        <w:rPr>
          <w:rFonts w:ascii="Arial" w:cs="Arial" w:eastAsia="Arial" w:hAnsi="Arial"/>
          <w:color w:val="2D2D2D"/>
          <w:sz w:val="22"/>
          <w:szCs w:val="22"/>
        </w:rPr>
        <w:t xml:space="preserve">Sí, la pregunta es predictiva sobre datos tabulares. → Familia B · ML supervisado.</w:t>
      </w:r>
    </w:p>
    <w:p>
      <w:pPr>
        <w:pStyle w:val="ListParagraph"/>
        <w:numPr>
          <w:ilvl w:val="0"/>
          <w:numId w:val="2"/>
        </w:numPr>
        <w:spacing w:after="80" w:before="40" w:line="280"/>
      </w:pPr>
      <w:r>
        <w:rPr>
          <w:rFonts w:ascii="Arial" w:cs="Arial" w:eastAsia="Arial" w:hAnsi="Arial"/>
          <w:b/>
          <w:bCs/>
        </w:rPr>
        <w:t xml:space="preserve">Validación con matriz: </w:t>
      </w:r>
      <w:r>
        <w:rPr>
          <w:rFonts w:ascii="Arial" w:cs="Arial" w:eastAsia="Arial" w:hAnsi="Arial"/>
          <w:color w:val="2D2D2D"/>
          <w:sz w:val="22"/>
          <w:szCs w:val="22"/>
        </w:rPr>
        <w:t xml:space="preserve">ML 87; Reglas 52; GenAI 48. Diferencia mayor a 20: decisión clara.</w:t>
      </w:r>
    </w:p>
    <w:p>
      <w:pPr>
        <w:pStyle w:val="Heading3"/>
        <w:spacing w:after="100" w:before="200"/>
      </w:pPr>
      <w:r>
        <w:rPr>
          <w:rFonts w:ascii="Arial" w:cs="Arial" w:eastAsia="Arial" w:hAnsi="Arial"/>
          <w:b/>
          <w:bCs/>
          <w:color w:val="2E75B6"/>
          <w:sz w:val="24"/>
          <w:szCs w:val="24"/>
        </w:rPr>
        <w:t xml:space="preserve">Recomendación</w:t>
      </w:r>
    </w:p>
    <w:p>
      <w:pPr>
        <w:spacing w:after="120" w:before="60" w:line="300"/>
      </w:pPr>
      <w:r>
        <w:rPr>
          <w:rFonts w:ascii="Arial" w:cs="Arial" w:eastAsia="Arial" w:hAnsi="Arial"/>
          <w:color w:val="2D2D2D"/>
          <w:sz w:val="22"/>
          <w:szCs w:val="22"/>
        </w:rPr>
        <w:t xml:space="preserve">Familia B: clasificador binario (churn / no churn) con probabilidad calibrada. Modelos de gradient boosting suelen ser punto de partida razonable por equilibrio entre desempeño y explicabilidad. Diseño explícito de explicabilidad (SHAP a nivel de cliente) para que el equipo de retención entienda por qué el modelo señala a un cliente. Pipeline de reentrenamiento mensual para combatir drift.</w:t>
      </w:r>
    </w:p>
    <w:p>
      <w:pPr>
        <w:pStyle w:val="Heading3"/>
        <w:spacing w:after="100" w:before="200"/>
      </w:pPr>
      <w:r>
        <w:rPr>
          <w:rFonts w:ascii="Arial" w:cs="Arial" w:eastAsia="Arial" w:hAnsi="Arial"/>
          <w:b/>
          <w:bCs/>
          <w:color w:val="2E75B6"/>
          <w:sz w:val="24"/>
          <w:szCs w:val="24"/>
        </w:rPr>
        <w:t xml:space="preserve">Riesgos a gestionar</w:t>
      </w:r>
    </w:p>
    <w:p>
      <w:pPr>
        <w:pStyle w:val="ListParagraph"/>
        <w:numPr>
          <w:ilvl w:val="0"/>
          <w:numId w:val="2"/>
        </w:numPr>
        <w:spacing w:after="80" w:before="40" w:line="280"/>
      </w:pPr>
      <w:r>
        <w:rPr>
          <w:rFonts w:ascii="Arial" w:cs="Arial" w:eastAsia="Arial" w:hAnsi="Arial"/>
          <w:color w:val="2D2D2D"/>
          <w:sz w:val="22"/>
          <w:szCs w:val="22"/>
        </w:rPr>
        <w:t xml:space="preserve">Sesgo: validar que el modelo no penalice segmentos vulnerables más allá de su tasa real de churn.</w:t>
      </w:r>
    </w:p>
    <w:p>
      <w:pPr>
        <w:pStyle w:val="ListParagraph"/>
        <w:numPr>
          <w:ilvl w:val="0"/>
          <w:numId w:val="2"/>
        </w:numPr>
        <w:spacing w:after="80" w:before="40" w:line="280"/>
      </w:pPr>
      <w:r>
        <w:rPr>
          <w:rFonts w:ascii="Arial" w:cs="Arial" w:eastAsia="Arial" w:hAnsi="Arial"/>
          <w:color w:val="2D2D2D"/>
          <w:sz w:val="22"/>
          <w:szCs w:val="22"/>
        </w:rPr>
        <w:t xml:space="preserve">Drift: monitoreo de distribución de variables y desempeño en producción.</w:t>
      </w:r>
    </w:p>
    <w:p>
      <w:pPr>
        <w:pStyle w:val="ListParagraph"/>
        <w:numPr>
          <w:ilvl w:val="0"/>
          <w:numId w:val="2"/>
        </w:numPr>
        <w:spacing w:after="80" w:before="40" w:line="280"/>
      </w:pPr>
      <w:r>
        <w:rPr>
          <w:rFonts w:ascii="Arial" w:cs="Arial" w:eastAsia="Arial" w:hAnsi="Arial"/>
          <w:color w:val="2D2D2D"/>
          <w:sz w:val="22"/>
          <w:szCs w:val="22"/>
        </w:rPr>
        <w:t xml:space="preserve">Acción: el modelo predice, pero la acción de retención debe ser diseñada (ofertas, contactos) y A/B testeada.</w:t>
      </w:r>
    </w:p>
    <w:p>
      <w:pPr>
        <w:pStyle w:val="Heading2"/>
        <w:spacing w:after="160" w:before="320"/>
      </w:pPr>
      <w:r>
        <w:rPr>
          <w:rFonts w:ascii="Arial" w:cs="Arial" w:eastAsia="Arial" w:hAnsi="Arial"/>
          <w:b/>
          <w:bCs/>
          <w:color w:val="1F3A5F"/>
          <w:sz w:val="28"/>
          <w:szCs w:val="28"/>
        </w:rPr>
        <w:t xml:space="preserve">10.3  Caso 3 — Asistente conversacional para soporte interno de TI</w:t>
      </w:r>
    </w:p>
    <w:p>
      <w:pPr>
        <w:pStyle w:val="Heading3"/>
        <w:spacing w:after="100" w:before="200"/>
      </w:pPr>
      <w:r>
        <w:rPr>
          <w:rFonts w:ascii="Arial" w:cs="Arial" w:eastAsia="Arial" w:hAnsi="Arial"/>
          <w:b/>
          <w:bCs/>
          <w:color w:val="2E75B6"/>
          <w:sz w:val="24"/>
          <w:szCs w:val="24"/>
        </w:rPr>
        <w:t xml:space="preserve">Descripción del problema</w:t>
      </w:r>
    </w:p>
    <w:p>
      <w:pPr>
        <w:spacing w:after="120" w:before="60" w:line="300"/>
      </w:pPr>
      <w:r>
        <w:rPr>
          <w:rFonts w:ascii="Arial" w:cs="Arial" w:eastAsia="Arial" w:hAnsi="Arial"/>
          <w:color w:val="2D2D2D"/>
          <w:sz w:val="22"/>
          <w:szCs w:val="22"/>
        </w:rPr>
        <w:t xml:space="preserve">Una empresa con 8.000 empleados quiere un asistente conversacional que resuelva consultas frecuentes de TI (cómo conectarse a la VPN, cómo resetear contraseñas, cómo solicitar accesos), reduciendo la carga del help desk. Existe documentación interna abundante en wikis y en una base de tickets de cinco años.</w:t>
      </w:r>
    </w:p>
    <w:p>
      <w:pPr>
        <w:pStyle w:val="Heading3"/>
        <w:spacing w:after="100" w:before="200"/>
      </w:pPr>
      <w:r>
        <w:rPr>
          <w:rFonts w:ascii="Arial" w:cs="Arial" w:eastAsia="Arial" w:hAnsi="Arial"/>
          <w:b/>
          <w:bCs/>
          <w:color w:val="2E75B6"/>
          <w:sz w:val="24"/>
          <w:szCs w:val="24"/>
        </w:rPr>
        <w:t xml:space="preserve">Recorrido del marco</w:t>
      </w:r>
    </w:p>
    <w:p>
      <w:pPr>
        <w:pStyle w:val="ListParagraph"/>
        <w:numPr>
          <w:ilvl w:val="0"/>
          <w:numId w:val="2"/>
        </w:numPr>
        <w:spacing w:after="80" w:before="40" w:line="280"/>
      </w:pPr>
      <w:r>
        <w:rPr>
          <w:rFonts w:ascii="Arial" w:cs="Arial" w:eastAsia="Arial" w:hAnsi="Arial"/>
          <w:b/>
          <w:bCs/>
        </w:rPr>
        <w:t xml:space="preserve">Pregunta 1: </w:t>
      </w:r>
      <w:r>
        <w:rPr>
          <w:rFonts w:ascii="Arial" w:cs="Arial" w:eastAsia="Arial" w:hAnsi="Arial"/>
          <w:color w:val="2D2D2D"/>
          <w:sz w:val="22"/>
          <w:szCs w:val="22"/>
        </w:rPr>
        <w:t xml:space="preserve">No, las consultas son demasiado variables para reglas. → P2.</w:t>
      </w:r>
    </w:p>
    <w:p>
      <w:pPr>
        <w:pStyle w:val="ListParagraph"/>
        <w:numPr>
          <w:ilvl w:val="0"/>
          <w:numId w:val="2"/>
        </w:numPr>
        <w:spacing w:after="80" w:before="40" w:line="280"/>
      </w:pPr>
      <w:r>
        <w:rPr>
          <w:rFonts w:ascii="Arial" w:cs="Arial" w:eastAsia="Arial" w:hAnsi="Arial"/>
          <w:b/>
          <w:bCs/>
        </w:rPr>
        <w:t xml:space="preserve">Pregunta 2: </w:t>
      </w:r>
      <w:r>
        <w:rPr>
          <w:rFonts w:ascii="Arial" w:cs="Arial" w:eastAsia="Arial" w:hAnsi="Arial"/>
          <w:color w:val="2D2D2D"/>
          <w:sz w:val="22"/>
          <w:szCs w:val="22"/>
        </w:rPr>
        <w:t xml:space="preserve">Parcialmente: hay documentos pero no hay etiquetado de "respuesta correcta" sistemático.</w:t>
      </w:r>
    </w:p>
    <w:p>
      <w:pPr>
        <w:pStyle w:val="ListParagraph"/>
        <w:numPr>
          <w:ilvl w:val="0"/>
          <w:numId w:val="2"/>
        </w:numPr>
        <w:spacing w:after="80" w:before="40" w:line="280"/>
      </w:pPr>
      <w:r>
        <w:rPr>
          <w:rFonts w:ascii="Arial" w:cs="Arial" w:eastAsia="Arial" w:hAnsi="Arial"/>
          <w:b/>
          <w:bCs/>
        </w:rPr>
        <w:t xml:space="preserve">Pregunta 3: </w:t>
      </w:r>
      <w:r>
        <w:rPr>
          <w:rFonts w:ascii="Arial" w:cs="Arial" w:eastAsia="Arial" w:hAnsi="Arial"/>
          <w:color w:val="2D2D2D"/>
          <w:sz w:val="22"/>
          <w:szCs w:val="22"/>
        </w:rPr>
        <w:t xml:space="preserve">No es un problema clásico de clasificación. → P4.</w:t>
      </w:r>
    </w:p>
    <w:p>
      <w:pPr>
        <w:pStyle w:val="ListParagraph"/>
        <w:numPr>
          <w:ilvl w:val="0"/>
          <w:numId w:val="2"/>
        </w:numPr>
        <w:spacing w:after="80" w:before="40" w:line="280"/>
      </w:pPr>
      <w:r>
        <w:rPr>
          <w:rFonts w:ascii="Arial" w:cs="Arial" w:eastAsia="Arial" w:hAnsi="Arial"/>
          <w:b/>
          <w:bCs/>
        </w:rPr>
        <w:t xml:space="preserve">Pregunta 4: </w:t>
      </w:r>
      <w:r>
        <w:rPr>
          <w:rFonts w:ascii="Arial" w:cs="Arial" w:eastAsia="Arial" w:hAnsi="Arial"/>
          <w:color w:val="2D2D2D"/>
          <w:sz w:val="22"/>
          <w:szCs w:val="22"/>
        </w:rPr>
        <w:t xml:space="preserve">Sí, lenguaje natural y comprensión semántica. → P5.</w:t>
      </w:r>
    </w:p>
    <w:p>
      <w:pPr>
        <w:pStyle w:val="ListParagraph"/>
        <w:numPr>
          <w:ilvl w:val="0"/>
          <w:numId w:val="2"/>
        </w:numPr>
        <w:spacing w:after="80" w:before="40" w:line="280"/>
      </w:pPr>
      <w:r>
        <w:rPr>
          <w:rFonts w:ascii="Arial" w:cs="Arial" w:eastAsia="Arial" w:hAnsi="Arial"/>
          <w:b/>
          <w:bCs/>
        </w:rPr>
        <w:t xml:space="preserve">Pregunta 5: </w:t>
      </w:r>
      <w:r>
        <w:rPr>
          <w:rFonts w:ascii="Arial" w:cs="Arial" w:eastAsia="Arial" w:hAnsi="Arial"/>
          <w:color w:val="2D2D2D"/>
          <w:sz w:val="22"/>
          <w:szCs w:val="22"/>
        </w:rPr>
        <w:t xml:space="preserve">Sensibilidad regulatoria media (datos internos, no PII de clientes), tolerancia al error media (errores son recuperables). → Familia C estándar.</w:t>
      </w:r>
    </w:p>
    <w:p>
      <w:pPr>
        <w:pStyle w:val="ListParagraph"/>
        <w:numPr>
          <w:ilvl w:val="0"/>
          <w:numId w:val="2"/>
        </w:numPr>
        <w:spacing w:after="80" w:before="40" w:line="280"/>
      </w:pPr>
      <w:r>
        <w:rPr>
          <w:rFonts w:ascii="Arial" w:cs="Arial" w:eastAsia="Arial" w:hAnsi="Arial"/>
          <w:b/>
          <w:bCs/>
        </w:rPr>
        <w:t xml:space="preserve">Validación con matriz: </w:t>
      </w:r>
      <w:r>
        <w:rPr>
          <w:rFonts w:ascii="Arial" w:cs="Arial" w:eastAsia="Arial" w:hAnsi="Arial"/>
          <w:color w:val="2D2D2D"/>
          <w:sz w:val="22"/>
          <w:szCs w:val="22"/>
        </w:rPr>
        <w:t xml:space="preserve">GenAI 84; ML 50; Reglas 35. Diferencia mayor a 20: decisión clara.</w:t>
      </w:r>
    </w:p>
    <w:p>
      <w:pPr>
        <w:pStyle w:val="Heading3"/>
        <w:spacing w:after="100" w:before="200"/>
      </w:pPr>
      <w:r>
        <w:rPr>
          <w:rFonts w:ascii="Arial" w:cs="Arial" w:eastAsia="Arial" w:hAnsi="Arial"/>
          <w:b/>
          <w:bCs/>
          <w:color w:val="2E75B6"/>
          <w:sz w:val="24"/>
          <w:szCs w:val="24"/>
        </w:rPr>
        <w:t xml:space="preserve">Recomendación</w:t>
      </w:r>
    </w:p>
    <w:p>
      <w:pPr>
        <w:spacing w:after="120" w:before="60" w:line="300"/>
      </w:pPr>
      <w:r>
        <w:rPr>
          <w:rFonts w:ascii="Arial" w:cs="Arial" w:eastAsia="Arial" w:hAnsi="Arial"/>
          <w:color w:val="2D2D2D"/>
          <w:sz w:val="22"/>
          <w:szCs w:val="22"/>
        </w:rPr>
        <w:t xml:space="preserve">Familia C: arquitectura RAG (Retrieval Augmented Generation) sobre la base documental indexada. El LLM responde solo a partir de los documentos recuperados, con citas a la fuente. Componente de Familia A: enrutamiento determinístico hacia agente humano cuando la consulta supera un umbral de complejidad o cuando el usuario lo solicita. Componente de Familia B en una segunda fase: clasificación de intent para optimizar enrutamiento.</w:t>
      </w:r>
    </w:p>
    <w:p>
      <w:pPr>
        <w:pStyle w:val="Heading3"/>
        <w:spacing w:after="100" w:before="200"/>
      </w:pPr>
      <w:r>
        <w:rPr>
          <w:rFonts w:ascii="Arial" w:cs="Arial" w:eastAsia="Arial" w:hAnsi="Arial"/>
          <w:b/>
          <w:bCs/>
          <w:color w:val="2E75B6"/>
          <w:sz w:val="24"/>
          <w:szCs w:val="24"/>
        </w:rPr>
        <w:t xml:space="preserve">Riesgos a gestionar</w:t>
      </w:r>
    </w:p>
    <w:p>
      <w:pPr>
        <w:pStyle w:val="ListParagraph"/>
        <w:numPr>
          <w:ilvl w:val="0"/>
          <w:numId w:val="2"/>
        </w:numPr>
        <w:spacing w:after="80" w:before="40" w:line="280"/>
      </w:pPr>
      <w:r>
        <w:rPr>
          <w:rFonts w:ascii="Arial" w:cs="Arial" w:eastAsia="Arial" w:hAnsi="Arial"/>
          <w:color w:val="2D2D2D"/>
          <w:sz w:val="22"/>
          <w:szCs w:val="22"/>
        </w:rPr>
        <w:t xml:space="preserve">Alucinación: forzar el modelo a citar fuentes y rechazar respuestas no fundamentadas.</w:t>
      </w:r>
    </w:p>
    <w:p>
      <w:pPr>
        <w:pStyle w:val="ListParagraph"/>
        <w:numPr>
          <w:ilvl w:val="0"/>
          <w:numId w:val="2"/>
        </w:numPr>
        <w:spacing w:after="80" w:before="40" w:line="280"/>
      </w:pPr>
      <w:r>
        <w:rPr>
          <w:rFonts w:ascii="Arial" w:cs="Arial" w:eastAsia="Arial" w:hAnsi="Arial"/>
          <w:color w:val="2D2D2D"/>
          <w:sz w:val="22"/>
          <w:szCs w:val="22"/>
        </w:rPr>
        <w:t xml:space="preserve">Privacidad: arquitectura que evite enviar datos sensibles a modelos externos; preferir hosting privado o instancia dedicada.</w:t>
      </w:r>
    </w:p>
    <w:p>
      <w:pPr>
        <w:pStyle w:val="ListParagraph"/>
        <w:numPr>
          <w:ilvl w:val="0"/>
          <w:numId w:val="2"/>
        </w:numPr>
        <w:spacing w:after="80" w:before="40" w:line="280"/>
      </w:pPr>
      <w:r>
        <w:rPr>
          <w:rFonts w:ascii="Arial" w:cs="Arial" w:eastAsia="Arial" w:hAnsi="Arial"/>
          <w:color w:val="2D2D2D"/>
          <w:sz w:val="22"/>
          <w:szCs w:val="22"/>
        </w:rPr>
        <w:t xml:space="preserve">Costo: monitoreo de tokens consumidos y caché agresivo de consultas frecuentes.</w:t>
      </w:r>
    </w:p>
    <w:p>
      <w:pPr>
        <w:pStyle w:val="ListParagraph"/>
        <w:numPr>
          <w:ilvl w:val="0"/>
          <w:numId w:val="2"/>
        </w:numPr>
        <w:spacing w:after="80" w:before="40" w:line="280"/>
      </w:pPr>
      <w:r>
        <w:rPr>
          <w:rFonts w:ascii="Arial" w:cs="Arial" w:eastAsia="Arial" w:hAnsi="Arial"/>
          <w:color w:val="2D2D2D"/>
          <w:sz w:val="22"/>
          <w:szCs w:val="22"/>
        </w:rPr>
        <w:t xml:space="preserve">Mantenimiento: actualización continua de la base documental indexada.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8"/>
              <w:bottom w:val="single" w:color="1F3A5F" w:sz="1"/>
              <w:right w:val="single" w:color="1F3A5F" w:sz="1"/>
            </w:tcBorders>
            <w:shd w:fill="F7F9FB" w:val="clear"/>
            <w:tcMar>
              <w:top w:type="dxa" w:w="160"/>
              <w:left w:type="dxa" w:w="200"/>
              <w:bottom w:type="dxa" w:w="160"/>
              <w:right w:type="dxa" w:w="200"/>
            </w:tcMar>
          </w:tcPr>
          <w:p>
            <w:pPr>
              <w:spacing w:after="80" w:before="0"/>
            </w:pPr>
            <w:r>
              <w:rPr>
                <w:rFonts w:ascii="Arial" w:cs="Arial" w:eastAsia="Arial" w:hAnsi="Arial"/>
                <w:b/>
                <w:bCs/>
                <w:color w:val="1F3A5F"/>
                <w:sz w:val="22"/>
                <w:szCs w:val="22"/>
              </w:rPr>
              <w:t xml:space="preserve">Patrón común a los tres casos</w:t>
            </w:r>
          </w:p>
          <w:p>
            <w:pPr>
              <w:spacing w:after="0" w:before="0" w:line="280"/>
            </w:pPr>
            <w:r>
              <w:rPr>
                <w:rFonts w:ascii="Arial" w:cs="Arial" w:eastAsia="Arial" w:hAnsi="Arial"/>
                <w:color w:val="2D2D2D"/>
                <w:sz w:val="22"/>
                <w:szCs w:val="22"/>
              </w:rPr>
              <w:t xml:space="preserve">En los tres ejemplos la solución completa incluye más de una familia. Reglas para gobierno y excepciones, ML para predicción y enrutamiento, GenAI para comprensión y generación. La pregunta no es "qué familia uso" sino "cómo orquesto las tres para resolver el problema con la simplicidad mínima necesaria".</w:t>
            </w:r>
          </w:p>
        </w:tc>
      </w:tr>
    </w:tbl>
    <w:p>
      <w:pPr>
        <w:pStyle w:val="Heading1"/>
        <w:pageBreakBefore/>
        <w:spacing w:after="240" w:before="480"/>
      </w:pPr>
      <w:r>
        <w:rPr>
          <w:rFonts w:ascii="Arial" w:cs="Arial" w:eastAsia="Arial" w:hAnsi="Arial"/>
          <w:b/>
          <w:bCs/>
          <w:color w:val="1F3A5F"/>
          <w:sz w:val="36"/>
          <w:szCs w:val="36"/>
        </w:rPr>
        <w:t xml:space="preserve">11. Glosario y referencias</w:t>
      </w:r>
    </w:p>
    <w:p>
      <w:pPr>
        <w:pStyle w:val="Heading2"/>
        <w:spacing w:after="160" w:before="320"/>
      </w:pPr>
      <w:r>
        <w:rPr>
          <w:rFonts w:ascii="Arial" w:cs="Arial" w:eastAsia="Arial" w:hAnsi="Arial"/>
          <w:b/>
          <w:bCs/>
          <w:color w:val="1F3A5F"/>
          <w:sz w:val="28"/>
          <w:szCs w:val="28"/>
        </w:rPr>
        <w:t xml:space="preserve">11.1  Glosario operativo</w:t>
      </w:r>
    </w:p>
    <w:p>
      <w:pPr>
        <w:spacing w:after="120" w:before="60" w:line="300"/>
      </w:pPr>
      <w:r>
        <w:rPr>
          <w:rFonts w:ascii="Arial" w:cs="Arial" w:eastAsia="Arial" w:hAnsi="Arial"/>
          <w:b/>
          <w:bCs/>
          <w:color w:val="1F3A5F"/>
          <w:sz w:val="22"/>
          <w:szCs w:val="22"/>
        </w:rPr>
        <w:t xml:space="preserve">Agente — </w:t>
      </w:r>
      <w:r>
        <w:rPr>
          <w:rFonts w:ascii="Arial" w:cs="Arial" w:eastAsia="Arial" w:hAnsi="Arial"/>
          <w:color w:val="2D2D2D"/>
          <w:sz w:val="22"/>
          <w:szCs w:val="22"/>
        </w:rPr>
        <w:t xml:space="preserve">sistema de IA que orquesta múltiples herramientas y ejecuta tareas multi-paso con cierto grado de autonomía.</w:t>
      </w:r>
    </w:p>
    <w:p>
      <w:pPr>
        <w:spacing w:after="120" w:before="60" w:line="300"/>
      </w:pPr>
      <w:r>
        <w:rPr>
          <w:rFonts w:ascii="Arial" w:cs="Arial" w:eastAsia="Arial" w:hAnsi="Arial"/>
          <w:b/>
          <w:bCs/>
          <w:color w:val="1F3A5F"/>
          <w:sz w:val="22"/>
          <w:szCs w:val="22"/>
        </w:rPr>
        <w:t xml:space="preserve">Drift — </w:t>
      </w:r>
      <w:r>
        <w:rPr>
          <w:rFonts w:ascii="Arial" w:cs="Arial" w:eastAsia="Arial" w:hAnsi="Arial"/>
          <w:color w:val="2D2D2D"/>
          <w:sz w:val="22"/>
          <w:szCs w:val="22"/>
        </w:rPr>
        <w:t xml:space="preserve">degradación del desempeño de un modelo en producción por cambios en la distribución de los datos respecto al entrenamiento.</w:t>
      </w:r>
    </w:p>
    <w:p>
      <w:pPr>
        <w:spacing w:after="120" w:before="60" w:line="300"/>
      </w:pPr>
      <w:r>
        <w:rPr>
          <w:rFonts w:ascii="Arial" w:cs="Arial" w:eastAsia="Arial" w:hAnsi="Arial"/>
          <w:b/>
          <w:bCs/>
          <w:color w:val="1F3A5F"/>
          <w:sz w:val="22"/>
          <w:szCs w:val="22"/>
        </w:rPr>
        <w:t xml:space="preserve">Explicabilidad — </w:t>
      </w:r>
      <w:r>
        <w:rPr>
          <w:rFonts w:ascii="Arial" w:cs="Arial" w:eastAsia="Arial" w:hAnsi="Arial"/>
          <w:color w:val="2D2D2D"/>
          <w:sz w:val="22"/>
          <w:szCs w:val="22"/>
        </w:rPr>
        <w:t xml:space="preserve">capacidad de explicar por qué un modelo produjo un resultado, con un nivel adecuado a la audiencia y al riesgo.</w:t>
      </w:r>
    </w:p>
    <w:p>
      <w:pPr>
        <w:spacing w:after="120" w:before="60" w:line="300"/>
      </w:pPr>
      <w:r>
        <w:rPr>
          <w:rFonts w:ascii="Arial" w:cs="Arial" w:eastAsia="Arial" w:hAnsi="Arial"/>
          <w:b/>
          <w:bCs/>
          <w:color w:val="1F3A5F"/>
          <w:sz w:val="22"/>
          <w:szCs w:val="22"/>
        </w:rPr>
        <w:t xml:space="preserve">Fine-tuning — </w:t>
      </w:r>
      <w:r>
        <w:rPr>
          <w:rFonts w:ascii="Arial" w:cs="Arial" w:eastAsia="Arial" w:hAnsi="Arial"/>
          <w:color w:val="2D2D2D"/>
          <w:sz w:val="22"/>
          <w:szCs w:val="22"/>
        </w:rPr>
        <w:t xml:space="preserve">ajuste de un modelo pre-entrenado con datos específicos para especializarlo en una tarea o dominio.</w:t>
      </w:r>
    </w:p>
    <w:p>
      <w:pPr>
        <w:spacing w:after="120" w:before="60" w:line="300"/>
      </w:pPr>
      <w:r>
        <w:rPr>
          <w:rFonts w:ascii="Arial" w:cs="Arial" w:eastAsia="Arial" w:hAnsi="Arial"/>
          <w:b/>
          <w:bCs/>
          <w:color w:val="1F3A5F"/>
          <w:sz w:val="22"/>
          <w:szCs w:val="22"/>
        </w:rPr>
        <w:t xml:space="preserve">GenAI — </w:t>
      </w:r>
      <w:r>
        <w:rPr>
          <w:rFonts w:ascii="Arial" w:cs="Arial" w:eastAsia="Arial" w:hAnsi="Arial"/>
          <w:color w:val="2D2D2D"/>
          <w:sz w:val="22"/>
          <w:szCs w:val="22"/>
        </w:rPr>
        <w:t xml:space="preserve">inteligencia artificial generativa; producción de contenido nuevo (texto, imagen, audio, código) a partir de modelos fundacionales.</w:t>
      </w:r>
    </w:p>
    <w:p>
      <w:pPr>
        <w:spacing w:after="120" w:before="60" w:line="300"/>
      </w:pPr>
      <w:r>
        <w:rPr>
          <w:rFonts w:ascii="Arial" w:cs="Arial" w:eastAsia="Arial" w:hAnsi="Arial"/>
          <w:b/>
          <w:bCs/>
          <w:color w:val="1F3A5F"/>
          <w:sz w:val="22"/>
          <w:szCs w:val="22"/>
        </w:rPr>
        <w:t xml:space="preserve">Gobernanza de IA — </w:t>
      </w:r>
      <w:r>
        <w:rPr>
          <w:rFonts w:ascii="Arial" w:cs="Arial" w:eastAsia="Arial" w:hAnsi="Arial"/>
          <w:color w:val="2D2D2D"/>
          <w:sz w:val="22"/>
          <w:szCs w:val="22"/>
        </w:rPr>
        <w:t xml:space="preserve">conjunto de políticas, procesos y controles para gestionar el ciclo de vida de los sistemas de IA en cumplimiento con principios y regulación.</w:t>
      </w:r>
    </w:p>
    <w:p>
      <w:pPr>
        <w:spacing w:after="120" w:before="60" w:line="300"/>
      </w:pPr>
      <w:r>
        <w:rPr>
          <w:rFonts w:ascii="Arial" w:cs="Arial" w:eastAsia="Arial" w:hAnsi="Arial"/>
          <w:b/>
          <w:bCs/>
          <w:color w:val="1F3A5F"/>
          <w:sz w:val="22"/>
          <w:szCs w:val="22"/>
        </w:rPr>
        <w:t xml:space="preserve">LLM — </w:t>
      </w:r>
      <w:r>
        <w:rPr>
          <w:rFonts w:ascii="Arial" w:cs="Arial" w:eastAsia="Arial" w:hAnsi="Arial"/>
          <w:color w:val="2D2D2D"/>
          <w:sz w:val="22"/>
          <w:szCs w:val="22"/>
        </w:rPr>
        <w:t xml:space="preserve">Large Language Model; modelo de lenguaje pre-entrenado en grandes corpus, capaz de comprender y generar texto.</w:t>
      </w:r>
    </w:p>
    <w:p>
      <w:pPr>
        <w:spacing w:after="120" w:before="60" w:line="300"/>
      </w:pPr>
      <w:r>
        <w:rPr>
          <w:rFonts w:ascii="Arial" w:cs="Arial" w:eastAsia="Arial" w:hAnsi="Arial"/>
          <w:b/>
          <w:bCs/>
          <w:color w:val="1F3A5F"/>
          <w:sz w:val="22"/>
          <w:szCs w:val="22"/>
        </w:rPr>
        <w:t xml:space="preserve">ML — </w:t>
      </w:r>
      <w:r>
        <w:rPr>
          <w:rFonts w:ascii="Arial" w:cs="Arial" w:eastAsia="Arial" w:hAnsi="Arial"/>
          <w:color w:val="2D2D2D"/>
          <w:sz w:val="22"/>
          <w:szCs w:val="22"/>
        </w:rPr>
        <w:t xml:space="preserve">Machine Learning; familia de algoritmos que aprenden patrones a partir de datos sin programación explícita de reglas.</w:t>
      </w:r>
    </w:p>
    <w:p>
      <w:pPr>
        <w:spacing w:after="120" w:before="60" w:line="300"/>
      </w:pPr>
      <w:r>
        <w:rPr>
          <w:rFonts w:ascii="Arial" w:cs="Arial" w:eastAsia="Arial" w:hAnsi="Arial"/>
          <w:b/>
          <w:bCs/>
          <w:color w:val="1F3A5F"/>
          <w:sz w:val="22"/>
          <w:szCs w:val="22"/>
        </w:rPr>
        <w:t xml:space="preserve">MLOps — </w:t>
      </w:r>
      <w:r>
        <w:rPr>
          <w:rFonts w:ascii="Arial" w:cs="Arial" w:eastAsia="Arial" w:hAnsi="Arial"/>
          <w:color w:val="2D2D2D"/>
          <w:sz w:val="22"/>
          <w:szCs w:val="22"/>
        </w:rPr>
        <w:t xml:space="preserve">prácticas de ingeniería para operar modelos de ML en producción de manera confiable y escalable.</w:t>
      </w:r>
    </w:p>
    <w:p>
      <w:pPr>
        <w:spacing w:after="120" w:before="60" w:line="300"/>
      </w:pPr>
      <w:r>
        <w:rPr>
          <w:rFonts w:ascii="Arial" w:cs="Arial" w:eastAsia="Arial" w:hAnsi="Arial"/>
          <w:b/>
          <w:bCs/>
          <w:color w:val="1F3A5F"/>
          <w:sz w:val="22"/>
          <w:szCs w:val="22"/>
        </w:rPr>
        <w:t xml:space="preserve">PII — </w:t>
      </w:r>
      <w:r>
        <w:rPr>
          <w:rFonts w:ascii="Arial" w:cs="Arial" w:eastAsia="Arial" w:hAnsi="Arial"/>
          <w:color w:val="2D2D2D"/>
          <w:sz w:val="22"/>
          <w:szCs w:val="22"/>
        </w:rPr>
        <w:t xml:space="preserve">Personally Identifiable Information; datos personales identificables. Datos sensibles bajo casi toda regulación de privacidad.</w:t>
      </w:r>
    </w:p>
    <w:p>
      <w:pPr>
        <w:spacing w:after="120" w:before="60" w:line="300"/>
      </w:pPr>
      <w:r>
        <w:rPr>
          <w:rFonts w:ascii="Arial" w:cs="Arial" w:eastAsia="Arial" w:hAnsi="Arial"/>
          <w:b/>
          <w:bCs/>
          <w:color w:val="1F3A5F"/>
          <w:sz w:val="22"/>
          <w:szCs w:val="22"/>
        </w:rPr>
        <w:t xml:space="preserve">RAG — </w:t>
      </w:r>
      <w:r>
        <w:rPr>
          <w:rFonts w:ascii="Arial" w:cs="Arial" w:eastAsia="Arial" w:hAnsi="Arial"/>
          <w:color w:val="2D2D2D"/>
          <w:sz w:val="22"/>
          <w:szCs w:val="22"/>
        </w:rPr>
        <w:t xml:space="preserve">Retrieval Augmented Generation; arquitectura que combina recuperación de documentos con generación de un LLM para fundamentar respuestas.</w:t>
      </w:r>
    </w:p>
    <w:p>
      <w:pPr>
        <w:spacing w:after="120" w:before="60" w:line="300"/>
      </w:pPr>
      <w:r>
        <w:rPr>
          <w:rFonts w:ascii="Arial" w:cs="Arial" w:eastAsia="Arial" w:hAnsi="Arial"/>
          <w:b/>
          <w:bCs/>
          <w:color w:val="1F3A5F"/>
          <w:sz w:val="22"/>
          <w:szCs w:val="22"/>
        </w:rPr>
        <w:t xml:space="preserve">RPA — </w:t>
      </w:r>
      <w:r>
        <w:rPr>
          <w:rFonts w:ascii="Arial" w:cs="Arial" w:eastAsia="Arial" w:hAnsi="Arial"/>
          <w:color w:val="2D2D2D"/>
          <w:sz w:val="22"/>
          <w:szCs w:val="22"/>
        </w:rPr>
        <w:t xml:space="preserve">Robotic Process Automation; automatización de tareas repetitivas mediante robots de software que operan interfaces existentes.</w:t>
      </w:r>
    </w:p>
    <w:p>
      <w:pPr>
        <w:spacing w:after="120" w:before="60" w:line="300"/>
      </w:pPr>
      <w:r>
        <w:rPr>
          <w:rFonts w:ascii="Arial" w:cs="Arial" w:eastAsia="Arial" w:hAnsi="Arial"/>
          <w:b/>
          <w:bCs/>
          <w:color w:val="1F3A5F"/>
          <w:sz w:val="22"/>
          <w:szCs w:val="22"/>
        </w:rPr>
        <w:t xml:space="preserve">SLA — </w:t>
      </w:r>
      <w:r>
        <w:rPr>
          <w:rFonts w:ascii="Arial" w:cs="Arial" w:eastAsia="Arial" w:hAnsi="Arial"/>
          <w:color w:val="2D2D2D"/>
          <w:sz w:val="22"/>
          <w:szCs w:val="22"/>
        </w:rPr>
        <w:t xml:space="preserve">Service Level Agreement; acuerdo de nivel de servicio que define tiempos de respuesta, disponibilidad y otros parámetros operativos.</w:t>
      </w:r>
    </w:p>
    <w:p>
      <w:pPr>
        <w:spacing w:after="120" w:before="60" w:line="300"/>
      </w:pPr>
      <w:r>
        <w:rPr>
          <w:rFonts w:ascii="Arial" w:cs="Arial" w:eastAsia="Arial" w:hAnsi="Arial"/>
          <w:b/>
          <w:bCs/>
          <w:color w:val="1F3A5F"/>
          <w:sz w:val="22"/>
          <w:szCs w:val="22"/>
        </w:rPr>
        <w:t xml:space="preserve">TCO — </w:t>
      </w:r>
      <w:r>
        <w:rPr>
          <w:rFonts w:ascii="Arial" w:cs="Arial" w:eastAsia="Arial" w:hAnsi="Arial"/>
          <w:color w:val="2D2D2D"/>
          <w:sz w:val="22"/>
          <w:szCs w:val="22"/>
        </w:rPr>
        <w:t xml:space="preserve">Total Cost of Ownership; costo total de propiedad, considerando licencias, infraestructura, talento, mantenimiento y operación.</w:t>
      </w:r>
    </w:p>
    <w:p>
      <w:pPr>
        <w:pStyle w:val="Heading2"/>
        <w:spacing w:after="160" w:before="320"/>
      </w:pPr>
      <w:r>
        <w:rPr>
          <w:rFonts w:ascii="Arial" w:cs="Arial" w:eastAsia="Arial" w:hAnsi="Arial"/>
          <w:b/>
          <w:bCs/>
          <w:color w:val="1F3A5F"/>
          <w:sz w:val="28"/>
          <w:szCs w:val="28"/>
        </w:rPr>
        <w:t xml:space="preserve">11.2  Referencias regulatorias y de marco</w:t>
      </w:r>
    </w:p>
    <w:p>
      <w:pPr>
        <w:pStyle w:val="ListParagraph"/>
        <w:numPr>
          <w:ilvl w:val="0"/>
          <w:numId w:val="2"/>
        </w:numPr>
        <w:spacing w:after="80" w:before="40" w:line="280"/>
      </w:pPr>
      <w:r>
        <w:rPr>
          <w:rFonts w:ascii="Arial" w:cs="Arial" w:eastAsia="Arial" w:hAnsi="Arial"/>
          <w:color w:val="2D2D2D"/>
          <w:sz w:val="22"/>
          <w:szCs w:val="22"/>
        </w:rPr>
        <w:t xml:space="preserve">Reglamento (UE) 2024/1689 — EU AI Act.</w:t>
      </w:r>
    </w:p>
    <w:p>
      <w:pPr>
        <w:pStyle w:val="ListParagraph"/>
        <w:numPr>
          <w:ilvl w:val="0"/>
          <w:numId w:val="2"/>
        </w:numPr>
        <w:spacing w:after="80" w:before="40" w:line="280"/>
      </w:pPr>
      <w:r>
        <w:rPr>
          <w:rFonts w:ascii="Arial" w:cs="Arial" w:eastAsia="Arial" w:hAnsi="Arial"/>
          <w:color w:val="2D2D2D"/>
          <w:sz w:val="22"/>
          <w:szCs w:val="22"/>
        </w:rPr>
        <w:t xml:space="preserve">Reglamento (UE) 2016/679 — GDPR.</w:t>
      </w:r>
    </w:p>
    <w:p>
      <w:pPr>
        <w:pStyle w:val="ListParagraph"/>
        <w:numPr>
          <w:ilvl w:val="0"/>
          <w:numId w:val="2"/>
        </w:numPr>
        <w:spacing w:after="80" w:before="40" w:line="280"/>
      </w:pPr>
      <w:r>
        <w:rPr>
          <w:rFonts w:ascii="Arial" w:cs="Arial" w:eastAsia="Arial" w:hAnsi="Arial"/>
          <w:color w:val="2D2D2D"/>
          <w:sz w:val="22"/>
          <w:szCs w:val="22"/>
        </w:rPr>
        <w:t xml:space="preserve">NIST AI Risk Management Framework (AI RMF 1.0 y actualizaciones).</w:t>
      </w:r>
    </w:p>
    <w:p>
      <w:pPr>
        <w:pStyle w:val="ListParagraph"/>
        <w:numPr>
          <w:ilvl w:val="0"/>
          <w:numId w:val="2"/>
        </w:numPr>
        <w:spacing w:after="80" w:before="40" w:line="280"/>
      </w:pPr>
      <w:r>
        <w:rPr>
          <w:rFonts w:ascii="Arial" w:cs="Arial" w:eastAsia="Arial" w:hAnsi="Arial"/>
          <w:color w:val="2D2D2D"/>
          <w:sz w:val="22"/>
          <w:szCs w:val="22"/>
        </w:rPr>
        <w:t xml:space="preserve">ISO/IEC 42001:2023 — Sistema de gestión de inteligencia artificial.</w:t>
      </w:r>
    </w:p>
    <w:p>
      <w:pPr>
        <w:pStyle w:val="ListParagraph"/>
        <w:numPr>
          <w:ilvl w:val="0"/>
          <w:numId w:val="2"/>
        </w:numPr>
        <w:spacing w:after="80" w:before="40" w:line="280"/>
      </w:pPr>
      <w:r>
        <w:rPr>
          <w:rFonts w:ascii="Arial" w:cs="Arial" w:eastAsia="Arial" w:hAnsi="Arial"/>
          <w:color w:val="2D2D2D"/>
          <w:sz w:val="22"/>
          <w:szCs w:val="22"/>
        </w:rPr>
        <w:t xml:space="preserve">OECD AI Principles (2019, revisiones 2024).</w:t>
      </w:r>
    </w:p>
    <w:p>
      <w:pPr>
        <w:pStyle w:val="ListParagraph"/>
        <w:numPr>
          <w:ilvl w:val="0"/>
          <w:numId w:val="2"/>
        </w:numPr>
        <w:spacing w:after="80" w:before="40" w:line="280"/>
      </w:pPr>
      <w:r>
        <w:rPr>
          <w:rFonts w:ascii="Arial" w:cs="Arial" w:eastAsia="Arial" w:hAnsi="Arial"/>
          <w:color w:val="2D2D2D"/>
          <w:sz w:val="22"/>
          <w:szCs w:val="22"/>
        </w:rPr>
        <w:t xml:space="preserve">ISO/IEC 23053:2022 — Marco para sistemas de IA basados en ML.</w:t>
      </w:r>
    </w:p>
    <w:p>
      <w:pPr>
        <w:pStyle w:val="ListParagraph"/>
        <w:numPr>
          <w:ilvl w:val="0"/>
          <w:numId w:val="2"/>
        </w:numPr>
        <w:spacing w:after="80" w:before="40" w:line="280"/>
      </w:pPr>
      <w:r>
        <w:rPr>
          <w:rFonts w:ascii="Arial" w:cs="Arial" w:eastAsia="Arial" w:hAnsi="Arial"/>
          <w:color w:val="2D2D2D"/>
          <w:sz w:val="22"/>
          <w:szCs w:val="22"/>
        </w:rPr>
        <w:t xml:space="preserve">ISO/IEC 23894:2023 — Guía sobre gestión de riesgos en IA.</w:t>
      </w:r>
    </w:p>
    <w:p>
      <w:pPr>
        <w:pStyle w:val="Heading2"/>
        <w:spacing w:after="160" w:before="320"/>
      </w:pPr>
      <w:r>
        <w:rPr>
          <w:rFonts w:ascii="Arial" w:cs="Arial" w:eastAsia="Arial" w:hAnsi="Arial"/>
          <w:b/>
          <w:bCs/>
          <w:color w:val="1F3A5F"/>
          <w:sz w:val="28"/>
          <w:szCs w:val="28"/>
        </w:rPr>
        <w:t xml:space="preserve">11.3  Conexión con otros módulos</w:t>
      </w:r>
    </w:p>
    <w:p>
      <w:pPr>
        <w:spacing w:after="120" w:before="60" w:line="300"/>
      </w:pPr>
      <w:r>
        <w:rPr>
          <w:rFonts w:ascii="Arial" w:cs="Arial" w:eastAsia="Arial" w:hAnsi="Arial"/>
          <w:color w:val="2D2D2D"/>
          <w:sz w:val="22"/>
          <w:szCs w:val="22"/>
        </w:rPr>
        <w:t xml:space="preserve">Este módulo es parte de la metodología completa de implementación de IA. Para profundizar en estrategia, diagnóstico, recetas por área, implementación o sostenibilidad, ver los módulos correspondientes de la metodología.</w:t>
      </w:r>
    </w:p>
    <w:p>
      <w:pPr>
        <w:spacing w:after="0" w:before="240"/>
      </w:pPr>
      <w:r>
        <w:rPr>
          <w:rFonts w:ascii="Arial" w:cs="Arial" w:eastAsia="Arial" w:hAnsi="Arial"/>
        </w:rPr>
        <w:t xml:space="preserve"/>
      </w:r>
    </w:p>
    <w:p>
      <w:pPr>
        <w:pBdr>
          <w:bottom w:val="single" w:color="1F3A5F" w:sz="6" w:space="1"/>
        </w:pBdr>
        <w:spacing w:after="120" w:before="120"/>
      </w:pPr>
      <w:r>
        <w:rPr>
          <w:rFonts w:ascii="Arial" w:cs="Arial" w:eastAsia="Arial" w:hAnsi="Arial"/>
        </w:rPr>
        <w:t xml:space="preserve"> </w:t>
      </w:r>
    </w:p>
    <w:p>
      <w:pPr>
        <w:spacing w:after="0" w:before="120"/>
        <w:jc w:val="center"/>
      </w:pPr>
      <w:r>
        <w:rPr>
          <w:rFonts w:ascii="Arial" w:cs="Arial" w:eastAsia="Arial" w:hAnsi="Arial"/>
          <w:i/>
          <w:iCs/>
          <w:color w:val="6B7280"/>
          <w:sz w:val="22"/>
          <w:szCs w:val="22"/>
        </w:rPr>
        <w:t xml:space="preserve">Fin del Módulo 4</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6B7280"/>
        <w:sz w:val="18"/>
        <w:szCs w:val="18"/>
      </w:rPr>
      <w:t xml:space="preserve">Documento de referencia · v1.0</w:t>
    </w:r>
    <w:r>
      <w:rPr>
        <w:rFonts w:ascii="Arial" w:cs="Arial" w:eastAsia="Arial" w:hAnsi="Arial"/>
        <w:color w:val="6B7280"/>
        <w:sz w:val="18"/>
        <w:szCs w:val="18"/>
      </w:rPr>
      <w:t xml:space="preserve">	Página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de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4" w:space="4"/>
      </w:pBdr>
      <w:tabs>
        <w:tab w:val="right" w:pos="9360"/>
      </w:tabs>
      <w:spacing w:after="0"/>
    </w:pPr>
    <w:r>
      <w:rPr>
        <w:rFonts w:ascii="Arial" w:cs="Arial" w:eastAsia="Arial" w:hAnsi="Arial"/>
        <w:color w:val="6B7280"/>
        <w:sz w:val="18"/>
        <w:szCs w:val="18"/>
      </w:rPr>
      <w:t xml:space="preserve">Metodología de Implementación de IA  |  Módulo 4</w:t>
    </w:r>
    <w:r>
      <w:rPr>
        <w:rFonts w:ascii="Arial" w:cs="Arial" w:eastAsia="Arial" w:hAnsi="Arial"/>
        <w:i/>
        <w:iCs/>
        <w:color w:val="6B7280"/>
        <w:sz w:val="18"/>
        <w:szCs w:val="18"/>
      </w:rPr>
      <w:t xml:space="preserve">	Marco de Decisión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Q%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A5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 w:type="paragraph" w:styleId="Hyperlink">
    <w:name w:val="Hyperlink"/>
    <w:basedOn w:val="Normal"/>
    <w:rPr>
      <w:color w:val="2E75B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2026-04-30T17:38:41.816Z</dcterms:created>
  <dcterms:modified xsi:type="dcterms:W3CDTF">2026-04-30T17:38:41.816Z</dcterms:modified>
</cp:coreProperties>
</file>

<file path=docProps/custom.xml><?xml version="1.0" encoding="utf-8"?>
<Properties xmlns="http://schemas.openxmlformats.org/officeDocument/2006/custom-properties" xmlns:vt="http://schemas.openxmlformats.org/officeDocument/2006/docPropsVTypes"/>
</file>