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left"/>
      </w:pPr>
      <w:r>
        <w:rPr>
          <w:rFonts w:ascii="Arial" w:cs="Arial" w:eastAsia="Arial" w:hAnsi="Arial"/>
          <w:b/>
          <w:bCs/>
          <w:color w:val="1F3A5F"/>
          <w:sz w:val="28"/>
          <w:szCs w:val="28"/>
        </w:rPr>
        <w:t xml:space="preserve">METODOLOGÍA DE IMPLEMENTACIÓN DE IA PARA EMPRESAS</w:t>
      </w:r>
    </w:p>
    <w:p>
      <w:pPr>
        <w:spacing w:after="100"/>
      </w:pPr>
      <w:r>
        <w:rPr>
          <w:rFonts w:ascii="Arial" w:cs="Arial" w:eastAsia="Arial" w:hAnsi="Arial"/>
          <w:b/>
          <w:bCs/>
          <w:sz w:val="36"/>
          <w:szCs w:val="36"/>
        </w:rPr>
        <w:t xml:space="preserve">Módulo 5</w:t>
      </w:r>
    </w:p>
    <w:p>
      <w:pPr>
        <w:spacing w:after="100"/>
      </w:pPr>
      <w:r>
        <w:rPr>
          <w:rFonts w:ascii="Arial" w:cs="Arial" w:eastAsia="Arial" w:hAnsi="Arial"/>
          <w:b/>
          <w:bCs/>
          <w:color w:val="1F3A5F"/>
          <w:sz w:val="44"/>
          <w:szCs w:val="44"/>
        </w:rPr>
        <w:t xml:space="preserve">Áreas de Aplicación</w:t>
      </w:r>
    </w:p>
    <w:p>
      <w:pPr>
        <w:spacing w:after="480"/>
      </w:pPr>
      <w:r>
        <w:rPr>
          <w:rFonts w:ascii="Arial" w:cs="Arial" w:eastAsia="Arial" w:hAnsi="Arial"/>
          <w:i/>
          <w:iCs/>
          <w:color w:val="6B7280"/>
          <w:sz w:val="24"/>
          <w:szCs w:val="24"/>
        </w:rPr>
        <w:t xml:space="preserve">Siete kits funcionales para identificar, priorizar y aterrizar oportunidades de IA en la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center"/>
          </w:tcPr>
          <w:p>
            <w:pPr>
              <w:spacing w:after="40" w:line="260"/>
              <w:jc w:val="center"/>
            </w:pPr>
            <w:r>
              <w:rPr>
                <w:rFonts w:ascii="Arial" w:cs="Arial" w:eastAsia="Arial" w:hAnsi="Arial"/>
                <w:b/>
                <w:bCs/>
                <w:color w:val="000000"/>
                <w:sz w:val="20"/>
                <w:szCs w:val="20"/>
              </w:rPr>
              <w:t xml:space="preserve">DOCUMENTO</w:t>
            </w:r>
          </w:p>
        </w:tc>
        <w:tc>
          <w:tcPr>
            <w:tcW w:type="dxa" w:w="312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center"/>
          </w:tcPr>
          <w:p>
            <w:pPr>
              <w:spacing w:after="40" w:line="260"/>
              <w:jc w:val="center"/>
            </w:pPr>
            <w:r>
              <w:rPr>
                <w:rFonts w:ascii="Arial" w:cs="Arial" w:eastAsia="Arial" w:hAnsi="Arial"/>
                <w:b/>
                <w:bCs/>
                <w:color w:val="000000"/>
                <w:sz w:val="20"/>
                <w:szCs w:val="20"/>
              </w:rPr>
              <w:t xml:space="preserve">AUDIENCIA</w:t>
            </w:r>
          </w:p>
        </w:tc>
        <w:tc>
          <w:tcPr>
            <w:tcW w:type="dxa" w:w="312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center"/>
          </w:tcPr>
          <w:p>
            <w:pPr>
              <w:spacing w:after="40" w:line="260"/>
              <w:jc w:val="center"/>
            </w:pPr>
            <w:r>
              <w:rPr>
                <w:rFonts w:ascii="Arial" w:cs="Arial" w:eastAsia="Arial" w:hAnsi="Arial"/>
                <w:b/>
                <w:bCs/>
                <w:color w:val="000000"/>
                <w:sz w:val="20"/>
                <w:szCs w:val="20"/>
              </w:rPr>
              <w:t xml:space="preserve">ALCANCE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line="260"/>
              <w:jc w:val="center"/>
            </w:pPr>
            <w:r>
              <w:rPr>
                <w:rFonts w:ascii="Arial" w:cs="Arial" w:eastAsia="Arial" w:hAnsi="Arial"/>
                <w:b w:val="false"/>
                <w:bCs w:val="false"/>
                <w:color w:val="000000"/>
                <w:sz w:val="20"/>
                <w:szCs w:val="20"/>
              </w:rPr>
              <w:t xml:space="preserve">Manual operativo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line="260"/>
              <w:jc w:val="center"/>
            </w:pPr>
            <w:r>
              <w:rPr>
                <w:rFonts w:ascii="Arial" w:cs="Arial" w:eastAsia="Arial" w:hAnsi="Arial"/>
                <w:b w:val="false"/>
                <w:bCs w:val="false"/>
                <w:color w:val="000000"/>
                <w:sz w:val="20"/>
                <w:szCs w:val="20"/>
              </w:rPr>
              <w:t xml:space="preserve">Consultores y líderes de área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line="260"/>
              <w:jc w:val="center"/>
            </w:pPr>
            <w:r>
              <w:rPr>
                <w:rFonts w:ascii="Arial" w:cs="Arial" w:eastAsia="Arial" w:hAnsi="Arial"/>
                <w:b w:val="false"/>
                <w:bCs w:val="false"/>
                <w:color w:val="000000"/>
                <w:sz w:val="20"/>
                <w:szCs w:val="20"/>
              </w:rPr>
              <w:t xml:space="preserve">Sector-agnóstico, foco PYME</w:t>
            </w:r>
          </w:p>
        </w:tc>
      </w:tr>
    </w:tbl>
    <w:p>
      <w:r>
        <w:rPr>
          <w:rFonts w:ascii="Arial" w:cs="Arial" w:eastAsia="Arial" w:hAnsi="Arial"/>
          <w:sz w:val="22"/>
          <w:szCs w:val="22"/>
        </w:rPr>
        <w:t xml:space="preserve"/>
      </w:r>
    </w:p>
    <w:p>
      <w:pPr>
        <w:spacing w:after="120" w:before="0" w:line="300"/>
        <w:jc w:val="left"/>
      </w:pPr>
      <w:r>
        <w:rPr>
          <w:rFonts w:ascii="Arial" w:cs="Arial" w:eastAsia="Arial" w:hAnsi="Arial"/>
          <w:b w:val="false"/>
          <w:bCs w:val="false"/>
          <w:i/>
          <w:iCs/>
          <w:sz w:val="22"/>
          <w:szCs w:val="22"/>
        </w:rPr>
        <w:t xml:space="preserve">Versión 1.0 | Manual del módulo + guía de llenado de los kits</w:t>
      </w:r>
    </w:p>
    <w:p>
      <w:r>
        <w:br w:type="page"/>
      </w:r>
    </w:p>
    <w:p>
      <w:pPr>
        <w:pStyle w:val="Heading1"/>
        <w:spacing w:after="180" w:before="360"/>
      </w:pPr>
      <w:r>
        <w:rPr>
          <w:rFonts w:ascii="Arial" w:cs="Arial" w:eastAsia="Arial" w:hAnsi="Arial"/>
          <w:b/>
          <w:bCs/>
          <w:color w:val="1F3A5F"/>
          <w:sz w:val="32"/>
          <w:szCs w:val="32"/>
        </w:rPr>
        <w:t xml:space="preserve">Resumen ejecutivo desprendible</w:t>
      </w:r>
    </w:p>
    <w:p>
      <w:pPr>
        <w:pStyle w:val="Heading2"/>
        <w:spacing w:after="140" w:before="280"/>
      </w:pPr>
      <w:r>
        <w:rPr>
          <w:rFonts w:ascii="Arial" w:cs="Arial" w:eastAsia="Arial" w:hAnsi="Arial"/>
          <w:b/>
          <w:bCs/>
          <w:color w:val="1F3A5F"/>
          <w:sz w:val="26"/>
          <w:szCs w:val="26"/>
        </w:rPr>
        <w:t xml:space="preserve">En una página: cómo funciona el Módulo 5</w:t>
      </w:r>
    </w:p>
    <w:p>
      <w:pPr>
        <w:spacing w:after="120" w:before="0" w:line="300"/>
        <w:jc w:val="both"/>
      </w:pPr>
      <w:r>
        <w:rPr>
          <w:rFonts w:ascii="Arial" w:cs="Arial" w:eastAsia="Arial" w:hAnsi="Arial"/>
          <w:b w:val="false"/>
          <w:bCs w:val="false"/>
          <w:i w:val="false"/>
          <w:iCs w:val="false"/>
          <w:sz w:val="22"/>
          <w:szCs w:val="22"/>
        </w:rPr>
        <w:t xml:space="preserve">El Módulo 5 traduce el marco conceptual de los Módulos 1-4 en siete kits prácticos por área funcional. Cada kit es un archivo Excel autocontenido con catálogo de casos de uso, cuestionario de autoevaluación, canvas de oportunidad y diagnóstico de habilitadores. Su propósito no es producir un inventario teórico, sino entregar al cliente un instrumento accionable para identificar, priorizar y documentar oportunidades concretas de IA en su organización.</w:t>
      </w:r>
    </w:p>
    <w:p>
      <w:pPr>
        <w:pStyle w:val="Heading3"/>
        <w:spacing w:after="100" w:before="200"/>
      </w:pPr>
      <w:r>
        <w:rPr>
          <w:rFonts w:ascii="Arial" w:cs="Arial" w:eastAsia="Arial" w:hAnsi="Arial"/>
          <w:b/>
          <w:bCs/>
          <w:sz w:val="22"/>
          <w:szCs w:val="22"/>
        </w:rPr>
        <w:t xml:space="preserve">Las siete áreas</w:t>
      </w:r>
    </w:p>
    <w:p>
      <w:pPr>
        <w:spacing w:after="120" w:before="0" w:line="300"/>
        <w:jc w:val="both"/>
      </w:pPr>
      <w:r>
        <w:rPr>
          <w:rFonts w:ascii="Arial" w:cs="Arial" w:eastAsia="Arial" w:hAnsi="Arial"/>
          <w:b w:val="false"/>
          <w:bCs w:val="false"/>
          <w:i w:val="false"/>
          <w:iCs w:val="false"/>
          <w:sz w:val="22"/>
          <w:szCs w:val="22"/>
        </w:rPr>
        <w:t xml:space="preserve">Las siete áreas cubren el espectro funcional típico de una empresa: Ventas B2B, Servicio al Cliente B2B, Operaciones de Planta, Legal y Compliance, Marketing y Generación de Demanda, Recursos Humanos y Talento, y Finanzas y Administración. La selección equilibra áreas comerciales (Ventas y Marketing), de servicio (Servicio Cliente), operacionales (Operaciones), de back-office (Finanzas, RRHH) y de gobernanza (Legal). Cada kit contiene entre 8 y 15 casos de uso curados, con énfasis en casos accionables más que exhaustivos.</w:t>
      </w:r>
    </w:p>
    <w:p>
      <w:pPr>
        <w:pStyle w:val="Heading3"/>
        <w:spacing w:after="100" w:before="200"/>
      </w:pPr>
      <w:r>
        <w:rPr>
          <w:rFonts w:ascii="Arial" w:cs="Arial" w:eastAsia="Arial" w:hAnsi="Arial"/>
          <w:b/>
          <w:bCs/>
          <w:sz w:val="22"/>
          <w:szCs w:val="22"/>
        </w:rPr>
        <w:t xml:space="preserve">Estructura común y lógica de priorización</w:t>
      </w:r>
    </w:p>
    <w:p>
      <w:pPr>
        <w:spacing w:after="120" w:before="0" w:line="300"/>
        <w:jc w:val="both"/>
      </w:pPr>
      <w:r>
        <w:rPr>
          <w:rFonts w:ascii="Arial" w:cs="Arial" w:eastAsia="Arial" w:hAnsi="Arial"/>
          <w:b w:val="false"/>
          <w:bCs w:val="false"/>
          <w:i w:val="false"/>
          <w:iCs w:val="false"/>
          <w:sz w:val="22"/>
          <w:szCs w:val="22"/>
        </w:rPr>
        <w:t xml:space="preserve">Todos los kits comparten la misma estructura base de cuatro hojas: Catálogo, Cuestionario, Canvas y Habilitadores. Algunos kits incluyen una quinta hoja específica al área (Tabla maestra de jurisdicciones en Legal; KPIs y Targets en Finanzas). El cuestionario calcula automáticamente dos scores: Pain (qué tan dolido está el área) y Readiness (qué tan lista está para IA), y produce una recomendación según la matriz Pain × Readiness: Quick Win Prioritario, Invertir en Habilitadores, Oportunidad sin Urgencia, o Aún No Es Momento.</w:t>
      </w:r>
    </w:p>
    <w:p>
      <w:pPr>
        <w:pStyle w:val="Heading3"/>
        <w:spacing w:after="100" w:before="200"/>
      </w:pPr>
      <w:r>
        <w:rPr>
          <w:rFonts w:ascii="Arial" w:cs="Arial" w:eastAsia="Arial" w:hAnsi="Arial"/>
          <w:b/>
          <w:bCs/>
          <w:sz w:val="22"/>
          <w:szCs w:val="22"/>
        </w:rPr>
        <w:t xml:space="preserve">Cómo se conecta con el resto de la metodología</w:t>
      </w:r>
    </w:p>
    <w:p>
      <w:pPr>
        <w:spacing w:after="120" w:before="0" w:line="300"/>
        <w:jc w:val="both"/>
      </w:pPr>
      <w:r>
        <w:rPr>
          <w:rFonts w:ascii="Arial" w:cs="Arial" w:eastAsia="Arial" w:hAnsi="Arial"/>
          <w:b w:val="false"/>
          <w:bCs w:val="false"/>
          <w:i w:val="false"/>
          <w:iCs w:val="false"/>
          <w:sz w:val="22"/>
          <w:szCs w:val="22"/>
        </w:rPr>
        <w:t xml:space="preserve">El Módulo 5 no decide en qué proyectos invertir; entrega los candidatos. La salida del módulo alimenta el Módulo 2 (cartera de oportunidades documentadas), el Módulo 3 (priorización por impacto y viabilidad) y el Módulo 4 (decisión de familia de IA por caso). El Canvas de oportunidad de cada kit es el artefacto pivotal: una vez completo, se traslada al Módulo 2 como entrada formal a la cartera.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6"/>
              <w:left w:val="single" w:color="1F3A5F" w:sz="6"/>
              <w:bottom w:val="single" w:color="1F3A5F" w:sz="6"/>
              <w:right w:val="single" w:color="1F3A5F" w:sz="6"/>
            </w:tcBorders>
            <w:shd w:fill="E8EEF4" w:val="clear"/>
            <w:tcMar>
              <w:top w:type="dxa" w:w="160"/>
              <w:left w:type="dxa" w:w="240"/>
              <w:bottom w:type="dxa" w:w="160"/>
              <w:right w:type="dxa" w:w="240"/>
            </w:tcMar>
          </w:tcPr>
          <w:p>
            <w:pPr>
              <w:spacing w:after="100"/>
            </w:pPr>
            <w:r>
              <w:rPr>
                <w:rFonts w:ascii="Arial" w:cs="Arial" w:eastAsia="Arial" w:hAnsi="Arial"/>
                <w:b/>
                <w:bCs/>
                <w:color w:val="1F3A5F"/>
                <w:sz w:val="22"/>
                <w:szCs w:val="22"/>
              </w:rPr>
              <w:t xml:space="preserve">Principio rector</w:t>
            </w:r>
          </w:p>
          <w:p>
            <w:pPr>
              <w:spacing w:after="0" w:line="280"/>
              <w:jc w:val="both"/>
            </w:pPr>
            <w:r>
              <w:rPr>
                <w:rFonts w:ascii="Arial" w:cs="Arial" w:eastAsia="Arial" w:hAnsi="Arial"/>
                <w:sz w:val="22"/>
                <w:szCs w:val="22"/>
              </w:rPr>
              <w:t xml:space="preserve">Los kits no son un listado de proyectos. Son una herramienta de conversación estructurada con el negocio. El verdadero output del Módulo 5 son las opiniones, prioridades y compromisos del cliente al recorrerlos, no la cantidad de casos marcados.</w:t>
            </w:r>
          </w:p>
        </w:tc>
      </w:tr>
    </w:tbl>
    <w:p>
      <w:r>
        <w:br w:type="page"/>
      </w:r>
    </w:p>
    <w:p>
      <w:pPr>
        <w:pStyle w:val="Heading1"/>
        <w:spacing w:after="180" w:before="360"/>
      </w:pPr>
      <w:r>
        <w:rPr>
          <w:rFonts w:ascii="Arial" w:cs="Arial" w:eastAsia="Arial" w:hAnsi="Arial"/>
          <w:b/>
          <w:bCs/>
          <w:color w:val="1F3A5F"/>
          <w:sz w:val="32"/>
          <w:szCs w:val="32"/>
        </w:rPr>
        <w:t xml:space="preserve">1. Introducción y propósito</w:t>
      </w:r>
    </w:p>
    <w:p>
      <w:pPr>
        <w:pStyle w:val="Heading2"/>
        <w:spacing w:after="140" w:before="280"/>
      </w:pPr>
      <w:r>
        <w:rPr>
          <w:rFonts w:ascii="Arial" w:cs="Arial" w:eastAsia="Arial" w:hAnsi="Arial"/>
          <w:b/>
          <w:bCs/>
          <w:color w:val="1F3A5F"/>
          <w:sz w:val="26"/>
          <w:szCs w:val="26"/>
        </w:rPr>
        <w:t xml:space="preserve">1.1 Por qué un kit por área y no un catálogo único</w:t>
      </w:r>
    </w:p>
    <w:p>
      <w:pPr>
        <w:spacing w:after="120" w:before="0" w:line="300"/>
        <w:jc w:val="both"/>
      </w:pPr>
      <w:r>
        <w:rPr>
          <w:rFonts w:ascii="Arial" w:cs="Arial" w:eastAsia="Arial" w:hAnsi="Arial"/>
          <w:b w:val="false"/>
          <w:bCs w:val="false"/>
          <w:i w:val="false"/>
          <w:iCs w:val="false"/>
          <w:sz w:val="22"/>
          <w:szCs w:val="22"/>
        </w:rPr>
        <w:t xml:space="preserve">Un único catálogo transversal de casos de IA tiende a quedar genérico, abstracto y poco accionable para los líderes funcionales que tienen que tomar decisiones sobre su realidad concreta. La conversación de oportunidades de IA es radicalmente más productiva cuando se ancla a un área específica con sus pains operativos, sus datos disponibles, su lenguaje técnico y su realidad regulatoria. El Módulo 5 organiza la conversación en siete kits funcionales precisamente para ese propósito: bajar la abstracción y acelerar la identificación.</w:t>
      </w:r>
    </w:p>
    <w:p>
      <w:pPr>
        <w:pStyle w:val="Heading2"/>
        <w:spacing w:after="140" w:before="280"/>
      </w:pPr>
      <w:r>
        <w:rPr>
          <w:rFonts w:ascii="Arial" w:cs="Arial" w:eastAsia="Arial" w:hAnsi="Arial"/>
          <w:b/>
          <w:bCs/>
          <w:color w:val="1F3A5F"/>
          <w:sz w:val="26"/>
          <w:szCs w:val="26"/>
        </w:rPr>
        <w:t xml:space="preserve">1.2 Audiencia y modo de uso</w:t>
      </w:r>
    </w:p>
    <w:p>
      <w:pPr>
        <w:spacing w:after="120" w:before="0" w:line="300"/>
        <w:jc w:val="both"/>
      </w:pPr>
      <w:r>
        <w:rPr>
          <w:rFonts w:ascii="Arial" w:cs="Arial" w:eastAsia="Arial" w:hAnsi="Arial"/>
          <w:b w:val="false"/>
          <w:bCs w:val="false"/>
          <w:i w:val="false"/>
          <w:iCs w:val="false"/>
          <w:sz w:val="22"/>
          <w:szCs w:val="22"/>
        </w:rPr>
        <w:t xml:space="preserve">El módulo está pensado para dos audiencias en simultáneo. Para el consultor o facilitador, los kits son artefactos de taller: se proyectan, se llenan en vivo con el cliente y se usan para forzar discusiones concretas sobre pain, datos y voluntad de inversión. Para el líder de área del cliente, los kits funcionan como cuestionario operativo y como base de documentación: cada kit se puede llenar de manera autónoma en aproximadamente dos horas y produce una recomendación interpretable por el equipo ejecutivo.</w:t>
      </w:r>
    </w:p>
    <w:p>
      <w:pPr>
        <w:pStyle w:val="Heading2"/>
        <w:spacing w:after="140" w:before="280"/>
      </w:pPr>
      <w:r>
        <w:rPr>
          <w:rFonts w:ascii="Arial" w:cs="Arial" w:eastAsia="Arial" w:hAnsi="Arial"/>
          <w:b/>
          <w:bCs/>
          <w:color w:val="1F3A5F"/>
          <w:sz w:val="26"/>
          <w:szCs w:val="26"/>
        </w:rPr>
        <w:t xml:space="preserve">1.3 Cómo se conecta con los demás módulos</w:t>
      </w:r>
    </w:p>
    <w:p>
      <w:pPr>
        <w:pStyle w:val="ListParagraph"/>
        <w:numPr>
          <w:ilvl w:val="0"/>
          <w:numId w:val="2"/>
        </w:numPr>
        <w:spacing w:after="80" w:line="280"/>
      </w:pPr>
      <w:r>
        <w:rPr>
          <w:rFonts w:ascii="Arial" w:cs="Arial" w:eastAsia="Arial" w:hAnsi="Arial"/>
          <w:b/>
          <w:bCs/>
          <w:sz w:val="22"/>
          <w:szCs w:val="22"/>
        </w:rPr>
        <w:t xml:space="preserve">Módulo 1 — Fundamentos y estrategia: </w:t>
      </w:r>
      <w:r>
        <w:rPr>
          <w:rFonts w:ascii="Arial" w:cs="Arial" w:eastAsia="Arial" w:hAnsi="Arial"/>
          <w:sz w:val="22"/>
          <w:szCs w:val="22"/>
        </w:rPr>
        <w:t xml:space="preserve">aporta el portafolio de objetivos estratégicos contra los cuales se evalúa la pertinencia de cada caso del Módulo 5.</w:t>
      </w:r>
    </w:p>
    <w:p>
      <w:pPr>
        <w:pStyle w:val="ListParagraph"/>
        <w:numPr>
          <w:ilvl w:val="0"/>
          <w:numId w:val="2"/>
        </w:numPr>
        <w:spacing w:after="80" w:line="280"/>
      </w:pPr>
      <w:r>
        <w:rPr>
          <w:rFonts w:ascii="Arial" w:cs="Arial" w:eastAsia="Arial" w:hAnsi="Arial"/>
          <w:b/>
          <w:bCs/>
          <w:sz w:val="22"/>
          <w:szCs w:val="22"/>
        </w:rPr>
        <w:t xml:space="preserve">Módulo 2 — Diagnóstico y oportunidades: </w:t>
      </w:r>
      <w:r>
        <w:rPr>
          <w:rFonts w:ascii="Arial" w:cs="Arial" w:eastAsia="Arial" w:hAnsi="Arial"/>
          <w:sz w:val="22"/>
          <w:szCs w:val="22"/>
        </w:rPr>
        <w:t xml:space="preserve">recibe el Canvas de oportunidad de cada kit como entrada formal a la cartera de proyectos.</w:t>
      </w:r>
    </w:p>
    <w:p>
      <w:pPr>
        <w:pStyle w:val="ListParagraph"/>
        <w:numPr>
          <w:ilvl w:val="0"/>
          <w:numId w:val="2"/>
        </w:numPr>
        <w:spacing w:after="80" w:line="280"/>
      </w:pPr>
      <w:r>
        <w:rPr>
          <w:rFonts w:ascii="Arial" w:cs="Arial" w:eastAsia="Arial" w:hAnsi="Arial"/>
          <w:b/>
          <w:bCs/>
          <w:sz w:val="22"/>
          <w:szCs w:val="22"/>
        </w:rPr>
        <w:t xml:space="preserve">Módulo 3 — Portafolio de innovación: </w:t>
      </w:r>
      <w:r>
        <w:rPr>
          <w:rFonts w:ascii="Arial" w:cs="Arial" w:eastAsia="Arial" w:hAnsi="Arial"/>
          <w:sz w:val="22"/>
          <w:szCs w:val="22"/>
        </w:rPr>
        <w:t xml:space="preserve">usa la salida priorizada de los kits para construir el roadmap de iniciativas con impacto y viabilidad.</w:t>
      </w:r>
    </w:p>
    <w:p>
      <w:pPr>
        <w:pStyle w:val="ListParagraph"/>
        <w:numPr>
          <w:ilvl w:val="0"/>
          <w:numId w:val="2"/>
        </w:numPr>
        <w:spacing w:after="80" w:line="280"/>
      </w:pPr>
      <w:r>
        <w:rPr>
          <w:rFonts w:ascii="Arial" w:cs="Arial" w:eastAsia="Arial" w:hAnsi="Arial"/>
          <w:b/>
          <w:bCs/>
          <w:sz w:val="22"/>
          <w:szCs w:val="22"/>
        </w:rPr>
        <w:t xml:space="preserve">Módulo 4 — Marco de decisión de IA: </w:t>
      </w:r>
      <w:r>
        <w:rPr>
          <w:rFonts w:ascii="Arial" w:cs="Arial" w:eastAsia="Arial" w:hAnsi="Arial"/>
          <w:sz w:val="22"/>
          <w:szCs w:val="22"/>
        </w:rPr>
        <w:t xml:space="preserve">aplica el árbol de decisión y la matriz de scoring sobre cada caso del Módulo 5 para escoger la familia técnica.</w:t>
      </w:r>
    </w:p>
    <w:p>
      <w:pPr>
        <w:pStyle w:val="ListParagraph"/>
        <w:numPr>
          <w:ilvl w:val="0"/>
          <w:numId w:val="2"/>
        </w:numPr>
        <w:spacing w:after="80" w:line="280"/>
      </w:pPr>
      <w:r>
        <w:rPr>
          <w:rFonts w:ascii="Arial" w:cs="Arial" w:eastAsia="Arial" w:hAnsi="Arial"/>
          <w:b/>
          <w:bCs/>
          <w:sz w:val="22"/>
          <w:szCs w:val="22"/>
        </w:rPr>
        <w:t xml:space="preserve">Módulo 6 — Implementación y cambio: </w:t>
      </w:r>
      <w:r>
        <w:rPr>
          <w:rFonts w:ascii="Arial" w:cs="Arial" w:eastAsia="Arial" w:hAnsi="Arial"/>
          <w:sz w:val="22"/>
          <w:szCs w:val="22"/>
        </w:rPr>
        <w:t xml:space="preserve">convierte los Quick Wins detectados en planes ejecutables con MLOps y gestión del cambio.</w:t>
      </w:r>
    </w:p>
    <w:p>
      <w:pPr>
        <w:pStyle w:val="Heading2"/>
        <w:spacing w:after="140" w:before="280"/>
      </w:pPr>
      <w:r>
        <w:rPr>
          <w:rFonts w:ascii="Arial" w:cs="Arial" w:eastAsia="Arial" w:hAnsi="Arial"/>
          <w:b/>
          <w:bCs/>
          <w:color w:val="1F3A5F"/>
          <w:sz w:val="26"/>
          <w:szCs w:val="26"/>
        </w:rPr>
        <w:t xml:space="preserve">1.4 Qué cubre y qué no cubre este módulo</w:t>
      </w:r>
    </w:p>
    <w:p>
      <w:pPr>
        <w:spacing w:after="120" w:before="0" w:line="300"/>
        <w:jc w:val="both"/>
      </w:pPr>
      <w:r>
        <w:rPr>
          <w:rFonts w:ascii="Arial" w:cs="Arial" w:eastAsia="Arial" w:hAnsi="Arial"/>
          <w:b/>
          <w:bCs/>
          <w:i w:val="false"/>
          <w:iCs w:val="false"/>
          <w:sz w:val="22"/>
          <w:szCs w:val="22"/>
        </w:rPr>
        <w:t xml:space="preserve">Cubre:</w:t>
      </w:r>
    </w:p>
    <w:p>
      <w:pPr>
        <w:pStyle w:val="ListParagraph"/>
        <w:numPr>
          <w:ilvl w:val="0"/>
          <w:numId w:val="2"/>
        </w:numPr>
        <w:spacing w:after="80" w:line="280"/>
      </w:pPr>
      <w:r>
        <w:rPr>
          <w:rFonts w:ascii="Arial" w:cs="Arial" w:eastAsia="Arial" w:hAnsi="Arial"/>
          <w:sz w:val="22"/>
          <w:szCs w:val="22"/>
        </w:rPr>
        <w:t xml:space="preserve">Siete kits funcionales con catálogos curados de casos de uso por área.</w:t>
      </w:r>
    </w:p>
    <w:p>
      <w:pPr>
        <w:pStyle w:val="ListParagraph"/>
        <w:numPr>
          <w:ilvl w:val="0"/>
          <w:numId w:val="2"/>
        </w:numPr>
        <w:spacing w:after="80" w:line="280"/>
      </w:pPr>
      <w:r>
        <w:rPr>
          <w:rFonts w:ascii="Arial" w:cs="Arial" w:eastAsia="Arial" w:hAnsi="Arial"/>
          <w:sz w:val="22"/>
          <w:szCs w:val="22"/>
        </w:rPr>
        <w:t xml:space="preserve">Cuestionario de Pain × Readiness con cálculo automático y matriz de recomendación.</w:t>
      </w:r>
    </w:p>
    <w:p>
      <w:pPr>
        <w:pStyle w:val="ListParagraph"/>
        <w:numPr>
          <w:ilvl w:val="0"/>
          <w:numId w:val="2"/>
        </w:numPr>
        <w:spacing w:after="80" w:line="280"/>
      </w:pPr>
      <w:r>
        <w:rPr>
          <w:rFonts w:ascii="Arial" w:cs="Arial" w:eastAsia="Arial" w:hAnsi="Arial"/>
          <w:sz w:val="22"/>
          <w:szCs w:val="22"/>
        </w:rPr>
        <w:t xml:space="preserve">Canvas estandarizado para documentar oportunidades en una página.</w:t>
      </w:r>
    </w:p>
    <w:p>
      <w:pPr>
        <w:pStyle w:val="ListParagraph"/>
        <w:numPr>
          <w:ilvl w:val="0"/>
          <w:numId w:val="2"/>
        </w:numPr>
        <w:spacing w:after="80" w:line="280"/>
      </w:pPr>
      <w:r>
        <w:rPr>
          <w:rFonts w:ascii="Arial" w:cs="Arial" w:eastAsia="Arial" w:hAnsi="Arial"/>
          <w:sz w:val="22"/>
          <w:szCs w:val="22"/>
        </w:rPr>
        <w:t xml:space="preserve">Diagnóstico de habilitadores pre-IA específicos por área (HR Tech Stack, Finance Stack, etc.).</w:t>
      </w:r>
    </w:p>
    <w:p>
      <w:pPr>
        <w:spacing w:after="120" w:before="0" w:line="300"/>
        <w:jc w:val="both"/>
      </w:pPr>
      <w:r>
        <w:rPr>
          <w:rFonts w:ascii="Arial" w:cs="Arial" w:eastAsia="Arial" w:hAnsi="Arial"/>
          <w:b/>
          <w:bCs/>
          <w:i w:val="false"/>
          <w:iCs w:val="false"/>
          <w:sz w:val="22"/>
          <w:szCs w:val="22"/>
        </w:rPr>
        <w:t xml:space="preserve">No cubre:</w:t>
      </w:r>
    </w:p>
    <w:p>
      <w:pPr>
        <w:pStyle w:val="ListParagraph"/>
        <w:numPr>
          <w:ilvl w:val="0"/>
          <w:numId w:val="2"/>
        </w:numPr>
        <w:spacing w:after="80" w:line="280"/>
      </w:pPr>
      <w:r>
        <w:rPr>
          <w:rFonts w:ascii="Arial" w:cs="Arial" w:eastAsia="Arial" w:hAnsi="Arial"/>
          <w:sz w:val="22"/>
          <w:szCs w:val="22"/>
        </w:rPr>
        <w:t xml:space="preserve">Decisión de familia de IA específica por caso (vive en el Módulo 4).</w:t>
      </w:r>
    </w:p>
    <w:p>
      <w:pPr>
        <w:pStyle w:val="ListParagraph"/>
        <w:numPr>
          <w:ilvl w:val="0"/>
          <w:numId w:val="2"/>
        </w:numPr>
        <w:spacing w:after="80" w:line="280"/>
      </w:pPr>
      <w:r>
        <w:rPr>
          <w:rFonts w:ascii="Arial" w:cs="Arial" w:eastAsia="Arial" w:hAnsi="Arial"/>
          <w:sz w:val="22"/>
          <w:szCs w:val="22"/>
        </w:rPr>
        <w:t xml:space="preserve">Priorización formal del portafolio de iniciativas (vive en el Módulo 3).</w:t>
      </w:r>
    </w:p>
    <w:p>
      <w:pPr>
        <w:pStyle w:val="ListParagraph"/>
        <w:numPr>
          <w:ilvl w:val="0"/>
          <w:numId w:val="2"/>
        </w:numPr>
        <w:spacing w:after="80" w:line="280"/>
      </w:pPr>
      <w:r>
        <w:rPr>
          <w:rFonts w:ascii="Arial" w:cs="Arial" w:eastAsia="Arial" w:hAnsi="Arial"/>
          <w:sz w:val="22"/>
          <w:szCs w:val="22"/>
        </w:rPr>
        <w:t xml:space="preserve">Diseño detallado de arquitectura técnica o selección de proveedor.</w:t>
      </w:r>
    </w:p>
    <w:p>
      <w:pPr>
        <w:pStyle w:val="ListParagraph"/>
        <w:numPr>
          <w:ilvl w:val="0"/>
          <w:numId w:val="2"/>
        </w:numPr>
        <w:spacing w:after="80" w:line="280"/>
      </w:pPr>
      <w:r>
        <w:rPr>
          <w:rFonts w:ascii="Arial" w:cs="Arial" w:eastAsia="Arial" w:hAnsi="Arial"/>
          <w:sz w:val="22"/>
          <w:szCs w:val="22"/>
        </w:rPr>
        <w:t xml:space="preserve">Análisis financiero detallado de business case (vive en el Módulo 3 con apoyo del Estimador).</w:t>
      </w:r>
    </w:p>
    <w:p>
      <w:r>
        <w:br w:type="page"/>
      </w:r>
    </w:p>
    <w:p>
      <w:pPr>
        <w:pStyle w:val="Heading1"/>
        <w:spacing w:after="180" w:before="360"/>
      </w:pPr>
      <w:r>
        <w:rPr>
          <w:rFonts w:ascii="Arial" w:cs="Arial" w:eastAsia="Arial" w:hAnsi="Arial"/>
          <w:b/>
          <w:bCs/>
          <w:color w:val="1F3A5F"/>
          <w:sz w:val="32"/>
          <w:szCs w:val="32"/>
        </w:rPr>
        <w:t xml:space="preserve">2. Estructura común de los kits</w:t>
      </w:r>
    </w:p>
    <w:p>
      <w:pPr>
        <w:spacing w:after="120" w:before="0" w:line="300"/>
        <w:jc w:val="both"/>
      </w:pPr>
      <w:r>
        <w:rPr>
          <w:rFonts w:ascii="Arial" w:cs="Arial" w:eastAsia="Arial" w:hAnsi="Arial"/>
          <w:b w:val="false"/>
          <w:bCs w:val="false"/>
          <w:i w:val="false"/>
          <w:iCs w:val="false"/>
          <w:sz w:val="22"/>
          <w:szCs w:val="22"/>
        </w:rPr>
        <w:t xml:space="preserve">Todos los kits del Módulo 5 comparten cuatro hojas base; algunos incorporan una quinta hoja específica al área. La consistencia estructural permite navegar cualquier kit sin curva de aprendizaje y comparar resultados entre áreas.</w:t>
      </w:r>
    </w:p>
    <w:p>
      <w:pPr>
        <w:pStyle w:val="Heading2"/>
        <w:spacing w:after="140" w:before="280"/>
      </w:pPr>
      <w:r>
        <w:rPr>
          <w:rFonts w:ascii="Arial" w:cs="Arial" w:eastAsia="Arial" w:hAnsi="Arial"/>
          <w:b/>
          <w:bCs/>
          <w:color w:val="1F3A5F"/>
          <w:sz w:val="26"/>
          <w:szCs w:val="26"/>
        </w:rPr>
        <w:t xml:space="preserve">2.1 Hoja Catálogo</w:t>
      </w:r>
    </w:p>
    <w:p>
      <w:pPr>
        <w:spacing w:after="120" w:before="0" w:line="300"/>
        <w:jc w:val="both"/>
      </w:pPr>
      <w:r>
        <w:rPr>
          <w:rFonts w:ascii="Arial" w:cs="Arial" w:eastAsia="Arial" w:hAnsi="Arial"/>
          <w:b w:val="false"/>
          <w:bCs w:val="false"/>
          <w:i w:val="false"/>
          <w:iCs w:val="false"/>
          <w:sz w:val="22"/>
          <w:szCs w:val="22"/>
        </w:rPr>
        <w:t xml:space="preserve">Es la hoja maestra del kit. Contiene entre 8 y 15 casos de uso curados, organizados en bloques temáticos (etapas del funnel comercial, ciclo de talento, ciclo financiero, etc.). Cada caso describe el problema que resuelve, la familia hipotética de IA, KPI típico, datos requeridos, esfuerzo estimado, madurez tecnológica del caso (escala 1-5), riesgos de compliance y una columna donde el cliente marca si aplica a su organización.</w:t>
      </w:r>
    </w:p>
    <w:p>
      <w:pPr>
        <w:spacing w:after="120" w:before="0" w:line="300"/>
        <w:jc w:val="both"/>
      </w:pPr>
      <w:r>
        <w:rPr>
          <w:rFonts w:ascii="Arial" w:cs="Arial" w:eastAsia="Arial" w:hAnsi="Arial"/>
          <w:b/>
          <w:bCs/>
          <w:i w:val="false"/>
          <w:iCs w:val="false"/>
          <w:sz w:val="22"/>
          <w:szCs w:val="22"/>
        </w:rPr>
        <w:t xml:space="preserve">Cómo llenarla: </w:t>
      </w:r>
    </w:p>
    <w:p>
      <w:pPr>
        <w:pStyle w:val="ListParagraph"/>
        <w:numPr>
          <w:ilvl w:val="0"/>
          <w:numId w:val="2"/>
        </w:numPr>
        <w:spacing w:after="80" w:line="280"/>
      </w:pPr>
      <w:r>
        <w:rPr>
          <w:rFonts w:ascii="Arial" w:cs="Arial" w:eastAsia="Arial" w:hAnsi="Arial"/>
          <w:sz w:val="22"/>
          <w:szCs w:val="22"/>
        </w:rPr>
        <w:t xml:space="preserve">Recorrer los casos uno por uno con el líder del área.</w:t>
      </w:r>
    </w:p>
    <w:p>
      <w:pPr>
        <w:pStyle w:val="ListParagraph"/>
        <w:numPr>
          <w:ilvl w:val="0"/>
          <w:numId w:val="2"/>
        </w:numPr>
        <w:spacing w:after="80" w:line="280"/>
      </w:pPr>
      <w:r>
        <w:rPr>
          <w:rFonts w:ascii="Arial" w:cs="Arial" w:eastAsia="Arial" w:hAnsi="Arial"/>
          <w:sz w:val="22"/>
          <w:szCs w:val="22"/>
        </w:rPr>
        <w:t xml:space="preserve">Para cada caso, marcar en la columna "¿Aplica a nosotros?" una de tres opciones: Sí, Tal vez, No.</w:t>
      </w:r>
    </w:p>
    <w:p>
      <w:pPr>
        <w:pStyle w:val="ListParagraph"/>
        <w:numPr>
          <w:ilvl w:val="0"/>
          <w:numId w:val="2"/>
        </w:numPr>
        <w:spacing w:after="80" w:line="280"/>
      </w:pPr>
      <w:r>
        <w:rPr>
          <w:rFonts w:ascii="Arial" w:cs="Arial" w:eastAsia="Arial" w:hAnsi="Arial"/>
          <w:sz w:val="22"/>
          <w:szCs w:val="22"/>
        </w:rPr>
        <w:t xml:space="preserve">Capturar en la columna Notas cualquier matiz, restricción o variante específica del cliente.</w:t>
      </w:r>
    </w:p>
    <w:p>
      <w:pPr>
        <w:pStyle w:val="ListParagraph"/>
        <w:numPr>
          <w:ilvl w:val="0"/>
          <w:numId w:val="2"/>
        </w:numPr>
        <w:spacing w:after="80" w:line="280"/>
      </w:pPr>
      <w:r>
        <w:rPr>
          <w:rFonts w:ascii="Arial" w:cs="Arial" w:eastAsia="Arial" w:hAnsi="Arial"/>
          <w:sz w:val="22"/>
          <w:szCs w:val="22"/>
        </w:rPr>
        <w:t xml:space="preserve">El resumen al pie de la hoja calcula automáticamente cuántos casos fueron marcados como candidatos (Sí + Tal vez).</w:t>
      </w:r>
    </w:p>
    <w:p>
      <w:pPr>
        <w:pStyle w:val="Heading2"/>
        <w:spacing w:after="140" w:before="280"/>
      </w:pPr>
      <w:r>
        <w:rPr>
          <w:rFonts w:ascii="Arial" w:cs="Arial" w:eastAsia="Arial" w:hAnsi="Arial"/>
          <w:b/>
          <w:bCs/>
          <w:color w:val="1F3A5F"/>
          <w:sz w:val="26"/>
          <w:szCs w:val="26"/>
        </w:rPr>
        <w:t xml:space="preserve">2.2 Hoja Cuestionario</w:t>
      </w:r>
    </w:p>
    <w:p>
      <w:pPr>
        <w:spacing w:after="120" w:before="0" w:line="300"/>
        <w:jc w:val="both"/>
      </w:pPr>
      <w:r>
        <w:rPr>
          <w:rFonts w:ascii="Arial" w:cs="Arial" w:eastAsia="Arial" w:hAnsi="Arial"/>
          <w:b w:val="false"/>
          <w:bCs w:val="false"/>
          <w:i w:val="false"/>
          <w:iCs w:val="false"/>
          <w:sz w:val="22"/>
          <w:szCs w:val="22"/>
        </w:rPr>
        <w:t xml:space="preserve">Es el instrumento de autoevaluación del área. Contiene 16 preguntas en 4 bloques: Pain operativo, Readiness de datos, Readiness del equipo, y Alineación estratégica. Cada pregunta se responde en escala de 1 a 5. La hoja calcula automáticamente un Pain score (promedio del Bloque A) y un Readiness score (promedio combinado de los Bloques B+C+D), y genera una recomendación estratégica según la matriz Pain × Readiness.</w:t>
      </w:r>
    </w:p>
    <w:p>
      <w:pPr>
        <w:spacing w:after="120" w:before="0" w:line="300"/>
        <w:jc w:val="both"/>
      </w:pPr>
      <w:r>
        <w:rPr>
          <w:rFonts w:ascii="Arial" w:cs="Arial" w:eastAsia="Arial" w:hAnsi="Arial"/>
          <w:b/>
          <w:bCs/>
          <w:i w:val="false"/>
          <w:iCs w:val="false"/>
          <w:sz w:val="22"/>
          <w:szCs w:val="22"/>
        </w:rPr>
        <w:t xml:space="preserve">Cómo llenarla: </w:t>
      </w:r>
    </w:p>
    <w:p>
      <w:pPr>
        <w:pStyle w:val="ListParagraph"/>
        <w:numPr>
          <w:ilvl w:val="0"/>
          <w:numId w:val="2"/>
        </w:numPr>
        <w:spacing w:after="80" w:line="280"/>
      </w:pPr>
      <w:r>
        <w:rPr>
          <w:rFonts w:ascii="Arial" w:cs="Arial" w:eastAsia="Arial" w:hAnsi="Arial"/>
          <w:sz w:val="22"/>
          <w:szCs w:val="22"/>
        </w:rPr>
        <w:t xml:space="preserve">Responder cada pregunta con un puntaje entre 1 (no existe / muy bajo) y 5 (sistemático / muy alto).</w:t>
      </w:r>
    </w:p>
    <w:p>
      <w:pPr>
        <w:pStyle w:val="ListParagraph"/>
        <w:numPr>
          <w:ilvl w:val="0"/>
          <w:numId w:val="2"/>
        </w:numPr>
        <w:spacing w:after="80" w:line="280"/>
      </w:pPr>
      <w:r>
        <w:rPr>
          <w:rFonts w:ascii="Arial" w:cs="Arial" w:eastAsia="Arial" w:hAnsi="Arial"/>
          <w:sz w:val="22"/>
          <w:szCs w:val="22"/>
        </w:rPr>
        <w:t xml:space="preserve">Idealmente con dos perspectivas: la del líder del área y la de un par del cliente, para triangular.</w:t>
      </w:r>
    </w:p>
    <w:p>
      <w:pPr>
        <w:pStyle w:val="ListParagraph"/>
        <w:numPr>
          <w:ilvl w:val="0"/>
          <w:numId w:val="2"/>
        </w:numPr>
        <w:spacing w:after="80" w:line="280"/>
      </w:pPr>
      <w:r>
        <w:rPr>
          <w:rFonts w:ascii="Arial" w:cs="Arial" w:eastAsia="Arial" w:hAnsi="Arial"/>
          <w:sz w:val="22"/>
          <w:szCs w:val="22"/>
        </w:rPr>
        <w:t xml:space="preserve">Al cerrar las 16 preguntas, leer la recomendación automática que aparece en la fila RECOMENDACIÓN.</w:t>
      </w:r>
    </w:p>
    <w:p>
      <w:pPr>
        <w:pStyle w:val="ListParagraph"/>
        <w:numPr>
          <w:ilvl w:val="0"/>
          <w:numId w:val="2"/>
        </w:numPr>
        <w:spacing w:after="80" w:line="280"/>
      </w:pPr>
      <w:r>
        <w:rPr>
          <w:rFonts w:ascii="Arial" w:cs="Arial" w:eastAsia="Arial" w:hAnsi="Arial"/>
          <w:sz w:val="22"/>
          <w:szCs w:val="22"/>
        </w:rPr>
        <w:t xml:space="preserve">La matriz 2×2 al final ayuda a interpretar visualmente el resultado.</w:t>
      </w:r>
    </w:p>
    <w:p>
      <w:pPr>
        <w:pStyle w:val="Heading2"/>
        <w:spacing w:after="140" w:before="280"/>
      </w:pPr>
      <w:r>
        <w:rPr>
          <w:rFonts w:ascii="Arial" w:cs="Arial" w:eastAsia="Arial" w:hAnsi="Arial"/>
          <w:b/>
          <w:bCs/>
          <w:color w:val="1F3A5F"/>
          <w:sz w:val="26"/>
          <w:szCs w:val="26"/>
        </w:rPr>
        <w:t xml:space="preserve">2.3 Hoja Canvas</w:t>
      </w:r>
    </w:p>
    <w:p>
      <w:pPr>
        <w:spacing w:after="120" w:before="0" w:line="300"/>
        <w:jc w:val="both"/>
      </w:pPr>
      <w:r>
        <w:rPr>
          <w:rFonts w:ascii="Arial" w:cs="Arial" w:eastAsia="Arial" w:hAnsi="Arial"/>
          <w:b w:val="false"/>
          <w:bCs w:val="false"/>
          <w:i w:val="false"/>
          <w:iCs w:val="false"/>
          <w:sz w:val="22"/>
          <w:szCs w:val="22"/>
        </w:rPr>
        <w:t xml:space="preserve">Es el artefacto pivotal del kit. En una página captura una oportunidad concreta con diez campos: nombre del caso, pain point, frecuencia y volumen, costo del dolor, KPI primario, magnitud esperada del cambio, datos disponibles, familia de IA hipotética, riesgos visibles y sponsor. Cada campo viene con un prompt y un ejemplo en cursiva orientativo del área.</w:t>
      </w:r>
    </w:p>
    <w:p>
      <w:pPr>
        <w:spacing w:after="120" w:before="0" w:line="300"/>
        <w:jc w:val="both"/>
      </w:pPr>
      <w:r>
        <w:rPr>
          <w:rFonts w:ascii="Arial" w:cs="Arial" w:eastAsia="Arial" w:hAnsi="Arial"/>
          <w:b/>
          <w:bCs/>
          <w:i w:val="false"/>
          <w:iCs w:val="false"/>
          <w:sz w:val="22"/>
          <w:szCs w:val="22"/>
        </w:rPr>
        <w:t xml:space="preserve">Cómo llenarlo: </w:t>
      </w:r>
    </w:p>
    <w:p>
      <w:pPr>
        <w:pStyle w:val="ListParagraph"/>
        <w:numPr>
          <w:ilvl w:val="0"/>
          <w:numId w:val="2"/>
        </w:numPr>
        <w:spacing w:after="80" w:line="280"/>
      </w:pPr>
      <w:r>
        <w:rPr>
          <w:rFonts w:ascii="Arial" w:cs="Arial" w:eastAsia="Arial" w:hAnsi="Arial"/>
          <w:sz w:val="22"/>
          <w:szCs w:val="22"/>
        </w:rPr>
        <w:t xml:space="preserve">Reemplazar el texto de ejemplo (en cursiva, fondo amarillo claro) por la información del caso real.</w:t>
      </w:r>
    </w:p>
    <w:p>
      <w:pPr>
        <w:pStyle w:val="ListParagraph"/>
        <w:numPr>
          <w:ilvl w:val="0"/>
          <w:numId w:val="2"/>
        </w:numPr>
        <w:spacing w:after="80" w:line="280"/>
      </w:pPr>
      <w:r>
        <w:rPr>
          <w:rFonts w:ascii="Arial" w:cs="Arial" w:eastAsia="Arial" w:hAnsi="Arial"/>
          <w:sz w:val="22"/>
          <w:szCs w:val="22"/>
        </w:rPr>
        <w:t xml:space="preserve">Forzar la cuantificación: USD/mes, número de transacciones, horas-persona ahorradas.</w:t>
      </w:r>
    </w:p>
    <w:p>
      <w:pPr>
        <w:pStyle w:val="ListParagraph"/>
        <w:numPr>
          <w:ilvl w:val="0"/>
          <w:numId w:val="2"/>
        </w:numPr>
        <w:spacing w:after="80" w:line="280"/>
      </w:pPr>
      <w:r>
        <w:rPr>
          <w:rFonts w:ascii="Arial" w:cs="Arial" w:eastAsia="Arial" w:hAnsi="Arial"/>
          <w:sz w:val="22"/>
          <w:szCs w:val="22"/>
        </w:rPr>
        <w:t xml:space="preserve">Cuando el Canvas esté completo, copiar su contenido a la plantilla de oportunidad del Módulo 2.</w:t>
      </w:r>
    </w:p>
    <w:p>
      <w:pPr>
        <w:pStyle w:val="Heading2"/>
        <w:spacing w:after="140" w:before="280"/>
      </w:pPr>
      <w:r>
        <w:rPr>
          <w:rFonts w:ascii="Arial" w:cs="Arial" w:eastAsia="Arial" w:hAnsi="Arial"/>
          <w:b/>
          <w:bCs/>
          <w:color w:val="1F3A5F"/>
          <w:sz w:val="26"/>
          <w:szCs w:val="26"/>
        </w:rPr>
        <w:t xml:space="preserve">2.4 Hoja Habilitadores</w:t>
      </w:r>
    </w:p>
    <w:p>
      <w:pPr>
        <w:spacing w:after="120" w:before="0" w:line="300"/>
        <w:jc w:val="both"/>
      </w:pPr>
      <w:r>
        <w:rPr>
          <w:rFonts w:ascii="Arial" w:cs="Arial" w:eastAsia="Arial" w:hAnsi="Arial"/>
          <w:b w:val="false"/>
          <w:bCs w:val="false"/>
          <w:i w:val="false"/>
          <w:iCs w:val="false"/>
          <w:sz w:val="22"/>
          <w:szCs w:val="22"/>
        </w:rPr>
        <w:t xml:space="preserve">Es el diagnóstico de readiness técnica y organizacional específico del área. Contiene 20 habilitadores en 5 bloques (sistemas core, datos, procesos, contenido/conocimiento, equipo y gobierno). Cada habilitador se marca con uno de cuatro estados: Sí, Parcial, No, No aplica. La hoja calcula un score de readiness en porcentaje y entrega una recomendación de READY / PARCIALMENTE READY / NO READY.</w:t>
      </w:r>
    </w:p>
    <w:p>
      <w:pPr>
        <w:spacing w:after="120" w:before="0" w:line="300"/>
        <w:jc w:val="both"/>
      </w:pPr>
      <w:r>
        <w:rPr>
          <w:rFonts w:ascii="Arial" w:cs="Arial" w:eastAsia="Arial" w:hAnsi="Arial"/>
          <w:b/>
          <w:bCs/>
          <w:i w:val="false"/>
          <w:iCs w:val="false"/>
          <w:sz w:val="22"/>
          <w:szCs w:val="22"/>
        </w:rPr>
        <w:t xml:space="preserve">Cómo llenarla: </w:t>
      </w:r>
    </w:p>
    <w:p>
      <w:pPr>
        <w:pStyle w:val="ListParagraph"/>
        <w:numPr>
          <w:ilvl w:val="0"/>
          <w:numId w:val="2"/>
        </w:numPr>
        <w:spacing w:after="80" w:line="280"/>
      </w:pPr>
      <w:r>
        <w:rPr>
          <w:rFonts w:ascii="Arial" w:cs="Arial" w:eastAsia="Arial" w:hAnsi="Arial"/>
          <w:sz w:val="22"/>
          <w:szCs w:val="22"/>
        </w:rPr>
        <w:t xml:space="preserve">Marcar el estado de cada habilitador con honestidad; sobreestimar la madurez es el error más caro.</w:t>
      </w:r>
    </w:p>
    <w:p>
      <w:pPr>
        <w:pStyle w:val="ListParagraph"/>
        <w:numPr>
          <w:ilvl w:val="0"/>
          <w:numId w:val="2"/>
        </w:numPr>
        <w:spacing w:after="80" w:line="280"/>
      </w:pPr>
      <w:r>
        <w:rPr>
          <w:rFonts w:ascii="Arial" w:cs="Arial" w:eastAsia="Arial" w:hAnsi="Arial"/>
          <w:sz w:val="22"/>
          <w:szCs w:val="22"/>
        </w:rPr>
        <w:t xml:space="preserve">Dejar comentarios en la columna correspondiente cuando el estado sea Parcial, para guiar la conversación de inversión en habilitadores.</w:t>
      </w:r>
    </w:p>
    <w:p>
      <w:pPr>
        <w:pStyle w:val="ListParagraph"/>
        <w:numPr>
          <w:ilvl w:val="0"/>
          <w:numId w:val="2"/>
        </w:numPr>
        <w:spacing w:after="80" w:line="280"/>
      </w:pPr>
      <w:r>
        <w:rPr>
          <w:rFonts w:ascii="Arial" w:cs="Arial" w:eastAsia="Arial" w:hAnsi="Arial"/>
          <w:sz w:val="22"/>
          <w:szCs w:val="22"/>
        </w:rPr>
        <w:t xml:space="preserve">Cruzar la recomendación de esta hoja con la del Cuestionario: un Pain alto con baja readiness en habilitadores indica invertir primero en datos y procesos antes de IA.</w:t>
      </w:r>
    </w:p>
    <w:p>
      <w:pPr>
        <w:pStyle w:val="Heading2"/>
        <w:spacing w:after="140" w:before="280"/>
      </w:pPr>
      <w:r>
        <w:rPr>
          <w:rFonts w:ascii="Arial" w:cs="Arial" w:eastAsia="Arial" w:hAnsi="Arial"/>
          <w:b/>
          <w:bCs/>
          <w:color w:val="1F3A5F"/>
          <w:sz w:val="26"/>
          <w:szCs w:val="26"/>
        </w:rPr>
        <w:t xml:space="preserve">2.5 Quinta hoja específica del área (cuando aplica)</w:t>
      </w:r>
    </w:p>
    <w:p>
      <w:pPr>
        <w:spacing w:after="120" w:before="0" w:line="300"/>
        <w:jc w:val="both"/>
      </w:pPr>
      <w:r>
        <w:rPr>
          <w:rFonts w:ascii="Arial" w:cs="Arial" w:eastAsia="Arial" w:hAnsi="Arial"/>
          <w:b w:val="false"/>
          <w:bCs w:val="false"/>
          <w:i w:val="false"/>
          <w:iCs w:val="false"/>
          <w:sz w:val="22"/>
          <w:szCs w:val="22"/>
        </w:rPr>
        <w:t xml:space="preserve">Algunos kits incorporan una quinta hoja para particularidades del área:</w:t>
      </w:r>
    </w:p>
    <w:p>
      <w:pPr>
        <w:pStyle w:val="ListParagraph"/>
        <w:numPr>
          <w:ilvl w:val="0"/>
          <w:numId w:val="2"/>
        </w:numPr>
        <w:spacing w:after="80" w:line="280"/>
      </w:pPr>
      <w:r>
        <w:rPr>
          <w:rFonts w:ascii="Arial" w:cs="Arial" w:eastAsia="Arial" w:hAnsi="Arial"/>
          <w:b/>
          <w:bCs/>
          <w:sz w:val="22"/>
          <w:szCs w:val="22"/>
        </w:rPr>
        <w:t xml:space="preserve">Legal y Compliance — Tabla Maestra de Jurisdicciones: </w:t>
      </w:r>
      <w:r>
        <w:rPr>
          <w:rFonts w:ascii="Arial" w:cs="Arial" w:eastAsia="Arial" w:hAnsi="Arial"/>
          <w:sz w:val="22"/>
          <w:szCs w:val="22"/>
        </w:rPr>
        <w:t xml:space="preserve">datos consolidados de regulación de datos y de IA por país (LFPDPPP, LGPD, GDPR, EU AI Act, etc.) para diagnosticar requerimientos por mercado.</w:t>
      </w:r>
    </w:p>
    <w:p>
      <w:pPr>
        <w:pStyle w:val="ListParagraph"/>
        <w:numPr>
          <w:ilvl w:val="0"/>
          <w:numId w:val="2"/>
        </w:numPr>
        <w:spacing w:after="80" w:line="280"/>
      </w:pPr>
      <w:r>
        <w:rPr>
          <w:rFonts w:ascii="Arial" w:cs="Arial" w:eastAsia="Arial" w:hAnsi="Arial"/>
          <w:b/>
          <w:bCs/>
          <w:sz w:val="22"/>
          <w:szCs w:val="22"/>
        </w:rPr>
        <w:t xml:space="preserve">Operaciones de Planta — Habilitadores extendidos: </w:t>
      </w:r>
      <w:r>
        <w:rPr>
          <w:rFonts w:ascii="Arial" w:cs="Arial" w:eastAsia="Arial" w:hAnsi="Arial"/>
          <w:sz w:val="22"/>
          <w:szCs w:val="22"/>
        </w:rPr>
        <w:t xml:space="preserve">sensorización, conectividad PLC/SCADA y MES como pre-requisitos específicos de planta.</w:t>
      </w:r>
    </w:p>
    <w:p>
      <w:pPr>
        <w:pStyle w:val="ListParagraph"/>
        <w:numPr>
          <w:ilvl w:val="0"/>
          <w:numId w:val="2"/>
        </w:numPr>
        <w:spacing w:after="80" w:line="280"/>
      </w:pPr>
      <w:r>
        <w:rPr>
          <w:rFonts w:ascii="Arial" w:cs="Arial" w:eastAsia="Arial" w:hAnsi="Arial"/>
          <w:b/>
          <w:bCs/>
          <w:sz w:val="22"/>
          <w:szCs w:val="22"/>
        </w:rPr>
        <w:t xml:space="preserve">Ventas B2B — Sales Stack Maturity: </w:t>
      </w:r>
      <w:r>
        <w:rPr>
          <w:rFonts w:ascii="Arial" w:cs="Arial" w:eastAsia="Arial" w:hAnsi="Arial"/>
          <w:sz w:val="22"/>
          <w:szCs w:val="22"/>
        </w:rPr>
        <w:t xml:space="preserve">diagnóstico extendido del stack comercial y CRM.</w:t>
      </w:r>
    </w:p>
    <w:p>
      <w:pPr>
        <w:pStyle w:val="ListParagraph"/>
        <w:numPr>
          <w:ilvl w:val="0"/>
          <w:numId w:val="2"/>
        </w:numPr>
        <w:spacing w:after="80" w:line="280"/>
      </w:pPr>
      <w:r>
        <w:rPr>
          <w:rFonts w:ascii="Arial" w:cs="Arial" w:eastAsia="Arial" w:hAnsi="Arial"/>
          <w:b/>
          <w:bCs/>
          <w:sz w:val="22"/>
          <w:szCs w:val="22"/>
        </w:rPr>
        <w:t xml:space="preserve">Finanzas y Administración — KPIs y Targets: </w:t>
      </w:r>
      <w:r>
        <w:rPr>
          <w:rFonts w:ascii="Arial" w:cs="Arial" w:eastAsia="Arial" w:hAnsi="Arial"/>
          <w:sz w:val="22"/>
          <w:szCs w:val="22"/>
        </w:rPr>
        <w:t xml:space="preserve">tabla con baseline-target-uplift por caso para cuantificar impacto desde el diagnóstico.</w:t>
      </w:r>
    </w:p>
    <w:p>
      <w:pPr>
        <w:pStyle w:val="Heading2"/>
        <w:spacing w:after="140" w:before="280"/>
      </w:pPr>
      <w:r>
        <w:rPr>
          <w:rFonts w:ascii="Arial" w:cs="Arial" w:eastAsia="Arial" w:hAnsi="Arial"/>
          <w:b/>
          <w:bCs/>
          <w:color w:val="1F3A5F"/>
          <w:sz w:val="26"/>
          <w:szCs w:val="26"/>
        </w:rPr>
        <w:t xml:space="preserve">2.6 Lógica Pain × Readiness</w:t>
      </w:r>
    </w:p>
    <w:p>
      <w:pPr>
        <w:spacing w:after="120" w:before="0" w:line="300"/>
        <w:jc w:val="both"/>
      </w:pPr>
      <w:r>
        <w:rPr>
          <w:rFonts w:ascii="Arial" w:cs="Arial" w:eastAsia="Arial" w:hAnsi="Arial"/>
          <w:b w:val="false"/>
          <w:bCs w:val="false"/>
          <w:i w:val="false"/>
          <w:iCs w:val="false"/>
          <w:sz w:val="22"/>
          <w:szCs w:val="22"/>
        </w:rPr>
        <w:t xml:space="preserve">La regla central de interpretación del Módulo 5 es la matriz Pain × Readiness, que cruza el dolor del área con su capacidad de absorber IA hoy. Las cuatro celdas tienen recomendaciones distintas: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center"/>
          </w:tcPr>
          <w:p>
            <w:pPr>
              <w:spacing w:after="40" w:line="260"/>
              <w:jc w:val="left"/>
            </w:pPr>
            <w:r>
              <w:rPr>
                <w:rFonts w:ascii="Arial" w:cs="Arial" w:eastAsia="Arial" w:hAnsi="Arial"/>
                <w:b w:val="false"/>
                <w:bCs w:val="false"/>
                <w:color w:val="000000"/>
                <w:sz w:val="20"/>
                <w:szCs w:val="20"/>
              </w:rPr>
              <w:t xml:space="preserve"> </w:t>
            </w:r>
          </w:p>
        </w:tc>
        <w:tc>
          <w:tcPr>
            <w:tcW w:type="dxa" w:w="351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center"/>
          </w:tcPr>
          <w:p>
            <w:pPr>
              <w:spacing w:after="40" w:line="260"/>
              <w:jc w:val="center"/>
            </w:pPr>
            <w:r>
              <w:rPr>
                <w:rFonts w:ascii="Arial" w:cs="Arial" w:eastAsia="Arial" w:hAnsi="Arial"/>
                <w:b/>
                <w:bCs/>
                <w:color w:val="000000"/>
                <w:sz w:val="20"/>
                <w:szCs w:val="20"/>
              </w:rPr>
              <w:t xml:space="preserve">Readiness BAJA</w:t>
            </w:r>
          </w:p>
        </w:tc>
        <w:tc>
          <w:tcPr>
            <w:tcW w:type="dxa" w:w="351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center"/>
          </w:tcPr>
          <w:p>
            <w:pPr>
              <w:spacing w:after="40" w:line="260"/>
              <w:jc w:val="center"/>
            </w:pPr>
            <w:r>
              <w:rPr>
                <w:rFonts w:ascii="Arial" w:cs="Arial" w:eastAsia="Arial" w:hAnsi="Arial"/>
                <w:b/>
                <w:bCs/>
                <w:color w:val="000000"/>
                <w:sz w:val="20"/>
                <w:szCs w:val="20"/>
              </w:rPr>
              <w:t xml:space="preserve">Readiness ALTA</w:t>
            </w:r>
          </w:p>
        </w:tc>
      </w:tr>
      <w:tr>
        <w:tc>
          <w:tcPr>
            <w:tcW w:type="dxa" w:w="234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center"/>
          </w:tcPr>
          <w:p>
            <w:pPr>
              <w:spacing w:after="40" w:line="260"/>
              <w:jc w:val="left"/>
            </w:pPr>
            <w:r>
              <w:rPr>
                <w:rFonts w:ascii="Arial" w:cs="Arial" w:eastAsia="Arial" w:hAnsi="Arial"/>
                <w:b/>
                <w:bCs/>
                <w:color w:val="000000"/>
                <w:sz w:val="20"/>
                <w:szCs w:val="20"/>
              </w:rPr>
              <w:t xml:space="preserve">Pain ALTO</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line="260"/>
              <w:jc w:val="left"/>
            </w:pPr>
            <w:r>
              <w:rPr>
                <w:rFonts w:ascii="Arial" w:cs="Arial" w:eastAsia="Arial" w:hAnsi="Arial"/>
                <w:b w:val="false"/>
                <w:bCs w:val="false"/>
                <w:color w:val="000000"/>
                <w:sz w:val="20"/>
                <w:szCs w:val="20"/>
              </w:rPr>
              <w:t xml:space="preserve">Invertir en habilitadores primero. El dolor existe pero los datos o el equipo no soportan IA todavía. 3-6 meses de readiness.</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line="260"/>
              <w:jc w:val="left"/>
            </w:pPr>
            <w:r>
              <w:rPr>
                <w:rFonts w:ascii="Arial" w:cs="Arial" w:eastAsia="Arial" w:hAnsi="Arial"/>
                <w:b/>
                <w:bCs/>
                <w:color w:val="000000"/>
                <w:sz w:val="20"/>
                <w:szCs w:val="20"/>
              </w:rPr>
              <w:t xml:space="preserve">QUICK WIN PRIORITARIO. Avanzar ahora con piloto y plan de escalamiento. Es el cuadrante objetivo del módulo.</w:t>
            </w:r>
          </w:p>
        </w:tc>
      </w:tr>
      <w:tr>
        <w:tc>
          <w:tcPr>
            <w:tcW w:type="dxa" w:w="234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vAlign w:val="center"/>
          </w:tcPr>
          <w:p>
            <w:pPr>
              <w:spacing w:after="40" w:line="260"/>
              <w:jc w:val="left"/>
            </w:pPr>
            <w:r>
              <w:rPr>
                <w:rFonts w:ascii="Arial" w:cs="Arial" w:eastAsia="Arial" w:hAnsi="Arial"/>
                <w:b/>
                <w:bCs/>
                <w:color w:val="000000"/>
                <w:sz w:val="20"/>
                <w:szCs w:val="20"/>
              </w:rPr>
              <w:t xml:space="preserve">Pain BAJO</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line="260"/>
              <w:jc w:val="left"/>
            </w:pPr>
            <w:r>
              <w:rPr>
                <w:rFonts w:ascii="Arial" w:cs="Arial" w:eastAsia="Arial" w:hAnsi="Arial"/>
                <w:b w:val="false"/>
                <w:bCs w:val="false"/>
                <w:color w:val="000000"/>
                <w:sz w:val="20"/>
                <w:szCs w:val="20"/>
              </w:rPr>
              <w:t xml:space="preserve">Aún no es momento. Construir capacidad transversal y volver al kit cuando aparezca pain real.</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line="260"/>
              <w:jc w:val="left"/>
            </w:pPr>
            <w:r>
              <w:rPr>
                <w:rFonts w:ascii="Arial" w:cs="Arial" w:eastAsia="Arial" w:hAnsi="Arial"/>
                <w:b w:val="false"/>
                <w:bCs w:val="false"/>
                <w:color w:val="000000"/>
                <w:sz w:val="20"/>
                <w:szCs w:val="20"/>
              </w:rPr>
              <w:t xml:space="preserve">Oportunidad sin urgencia. Capacidad para IA existe, pero no hay dolor que la justifique en este momento.</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6"/>
              <w:left w:val="single" w:color="1F3A5F" w:sz="6"/>
              <w:bottom w:val="single" w:color="1F3A5F" w:sz="6"/>
              <w:right w:val="single" w:color="1F3A5F" w:sz="6"/>
            </w:tcBorders>
            <w:shd w:fill="E8EEF4" w:val="clear"/>
            <w:tcMar>
              <w:top w:type="dxa" w:w="160"/>
              <w:left w:type="dxa" w:w="240"/>
              <w:bottom w:type="dxa" w:w="160"/>
              <w:right w:type="dxa" w:w="240"/>
            </w:tcMar>
          </w:tcPr>
          <w:p>
            <w:pPr>
              <w:spacing w:after="100"/>
            </w:pPr>
            <w:r>
              <w:rPr>
                <w:rFonts w:ascii="Arial" w:cs="Arial" w:eastAsia="Arial" w:hAnsi="Arial"/>
                <w:b/>
                <w:bCs/>
                <w:color w:val="1F3A5F"/>
                <w:sz w:val="22"/>
                <w:szCs w:val="22"/>
              </w:rPr>
              <w:t xml:space="preserve">Cuadrante objetivo</w:t>
            </w:r>
          </w:p>
          <w:p>
            <w:pPr>
              <w:spacing w:after="0" w:line="280"/>
              <w:jc w:val="both"/>
            </w:pPr>
            <w:r>
              <w:rPr>
                <w:rFonts w:ascii="Arial" w:cs="Arial" w:eastAsia="Arial" w:hAnsi="Arial"/>
                <w:sz w:val="22"/>
                <w:szCs w:val="22"/>
              </w:rPr>
              <w:t xml:space="preserve">El verdadero output del módulo es identificar las áreas donde Pain y Readiness son ambos altos. Esos son los Quick Wins que arman el caso de negocio inicial de IA en la organización y que conviene escalar primero.</w:t>
            </w:r>
          </w:p>
        </w:tc>
      </w:tr>
    </w:tbl>
    <w:p>
      <w:r>
        <w:br w:type="page"/>
      </w:r>
    </w:p>
    <w:p>
      <w:pPr>
        <w:pStyle w:val="Heading1"/>
        <w:spacing w:after="180" w:before="360"/>
      </w:pPr>
      <w:r>
        <w:rPr>
          <w:rFonts w:ascii="Arial" w:cs="Arial" w:eastAsia="Arial" w:hAnsi="Arial"/>
          <w:b/>
          <w:bCs/>
          <w:color w:val="1F3A5F"/>
          <w:sz w:val="32"/>
          <w:szCs w:val="32"/>
        </w:rPr>
        <w:t xml:space="preserve">3. Las siete áreas de aplicación</w:t>
      </w:r>
    </w:p>
    <w:p>
      <w:pPr>
        <w:spacing w:after="120" w:before="0" w:line="300"/>
        <w:jc w:val="both"/>
      </w:pPr>
      <w:r>
        <w:rPr>
          <w:rFonts w:ascii="Arial" w:cs="Arial" w:eastAsia="Arial" w:hAnsi="Arial"/>
          <w:b w:val="false"/>
          <w:bCs w:val="false"/>
          <w:i w:val="false"/>
          <w:iCs w:val="false"/>
          <w:sz w:val="22"/>
          <w:szCs w:val="22"/>
        </w:rPr>
        <w:t xml:space="preserve">Cada subsección presenta un kit del módulo: propósito, cantidad y organización de casos, ejemplos representativos, KPIs típicos y particularidades del área. Los detalles operativos completos viven en cada archivo Excel.</w:t>
      </w:r>
    </w:p>
    <w:p>
      <w:pPr>
        <w:pStyle w:val="Heading2"/>
        <w:spacing w:after="140" w:before="280"/>
      </w:pPr>
      <w:r>
        <w:rPr>
          <w:rFonts w:ascii="Arial" w:cs="Arial" w:eastAsia="Arial" w:hAnsi="Arial"/>
          <w:b/>
          <w:bCs/>
          <w:color w:val="1F3A5F"/>
          <w:sz w:val="26"/>
          <w:szCs w:val="26"/>
        </w:rPr>
        <w:t xml:space="preserve">3.1 Ventas B2B</w:t>
      </w:r>
    </w:p>
    <w:p>
      <w:pPr>
        <w:spacing w:after="100" w:line="280"/>
        <w:jc w:val="left"/>
      </w:pPr>
      <w:r>
        <w:rPr>
          <w:rFonts w:ascii="Arial" w:cs="Arial" w:eastAsia="Arial" w:hAnsi="Arial"/>
          <w:i/>
          <w:iCs/>
          <w:color w:val="6B7280"/>
          <w:sz w:val="20"/>
          <w:szCs w:val="20"/>
        </w:rPr>
        <w:t xml:space="preserve">Archivo: Kit_Ventas_B2B.xlsx</w:t>
      </w:r>
    </w:p>
    <w:p>
      <w:pPr>
        <w:spacing w:after="100" w:line="280"/>
        <w:jc w:val="both"/>
      </w:pPr>
      <w:r>
        <w:rPr>
          <w:rFonts w:ascii="Arial" w:cs="Arial" w:eastAsia="Arial" w:hAnsi="Arial"/>
          <w:b/>
          <w:bCs/>
          <w:sz w:val="22"/>
          <w:szCs w:val="22"/>
        </w:rPr>
        <w:t xml:space="preserve">Propósito. </w:t>
      </w:r>
      <w:r>
        <w:rPr>
          <w:rFonts w:ascii="Arial" w:cs="Arial" w:eastAsia="Arial" w:hAnsi="Arial"/>
          <w:sz w:val="22"/>
          <w:szCs w:val="22"/>
        </w:rPr>
        <w:t xml:space="preserve">Identificar oportunidades de IA a lo largo del funnel comercial complejo, desde generación de leads hasta cierre y expansión de cuentas. Foco en ventas con ciclos largos, múltiples decisores y ticket alto. </w:t>
      </w:r>
      <w:r>
        <w:rPr>
          <w:rFonts w:ascii="Arial" w:cs="Arial" w:eastAsia="Arial" w:hAnsi="Arial"/>
          <w:b/>
          <w:bCs/>
          <w:sz w:val="22"/>
          <w:szCs w:val="22"/>
        </w:rPr>
        <w:t xml:space="preserve">Estructura del catálogo. </w:t>
      </w:r>
      <w:r>
        <w:rPr>
          <w:rFonts w:ascii="Arial" w:cs="Arial" w:eastAsia="Arial" w:hAnsi="Arial"/>
          <w:sz w:val="22"/>
          <w:szCs w:val="22"/>
        </w:rPr>
        <w:t xml:space="preserve">15 casos organizados en 5 etapas del funnel: generación y calificación de leads, inteligencia de cuenta y pipeline, compromiso del comprador, cierre y propuesta, retención y expansión.</w:t>
      </w:r>
    </w:p>
    <w:p>
      <w:pPr>
        <w:spacing w:after="200" w:line="280"/>
        <w:jc w:val="both"/>
      </w:pPr>
      <w:r>
        <w:rPr>
          <w:rFonts w:ascii="Arial" w:cs="Arial" w:eastAsia="Arial" w:hAnsi="Arial"/>
          <w:b/>
          <w:bCs/>
          <w:sz w:val="22"/>
          <w:szCs w:val="22"/>
        </w:rPr>
        <w:t xml:space="preserve">Casos representativos. </w:t>
      </w:r>
      <w:r>
        <w:rPr>
          <w:rFonts w:ascii="Arial" w:cs="Arial" w:eastAsia="Arial" w:hAnsi="Arial"/>
          <w:sz w:val="22"/>
          <w:szCs w:val="22"/>
        </w:rPr>
        <w:t xml:space="preserve">Lead scoring predictivo · Conversational intelligence sobre llamadas · Predicción de probabilidad de cierre · Detección de pipeline en riesgo (deal health) · Copiloto del vendedor en tiempo real · Generación de propuestas y emails personalizados. </w:t>
      </w:r>
      <w:r>
        <w:rPr>
          <w:rFonts w:ascii="Arial" w:cs="Arial" w:eastAsia="Arial" w:hAnsi="Arial"/>
          <w:b/>
          <w:bCs/>
          <w:sz w:val="22"/>
          <w:szCs w:val="22"/>
        </w:rPr>
        <w:t xml:space="preserve">KPIs típicos. </w:t>
      </w:r>
      <w:r>
        <w:rPr>
          <w:rFonts w:ascii="Arial" w:cs="Arial" w:eastAsia="Arial" w:hAnsi="Arial"/>
          <w:sz w:val="22"/>
          <w:szCs w:val="22"/>
        </w:rPr>
        <w:t xml:space="preserve">Conversión MQL→SQL, win rate, forecast accuracy, ciclo de venta, productividad del rep, ACV. </w:t>
      </w:r>
      <w:r>
        <w:rPr>
          <w:rFonts w:ascii="Arial" w:cs="Arial" w:eastAsia="Arial" w:hAnsi="Arial"/>
          <w:b/>
          <w:bCs/>
          <w:sz w:val="22"/>
          <w:szCs w:val="22"/>
        </w:rPr>
        <w:t xml:space="preserve">Particularidad. </w:t>
      </w:r>
      <w:r>
        <w:rPr>
          <w:rFonts w:ascii="Arial" w:cs="Arial" w:eastAsia="Arial" w:hAnsi="Arial"/>
          <w:sz w:val="22"/>
          <w:szCs w:val="22"/>
        </w:rPr>
        <w:t xml:space="preserve">Incluye una quinta hoja "Sales Stack Maturity" con diagnóstico extendido del CRM, definiciones MQL/SQL, ICP y stack tecnológico comercial.</w:t>
      </w:r>
    </w:p>
    <w:p>
      <w:pPr>
        <w:pStyle w:val="Heading2"/>
        <w:spacing w:after="140" w:before="280"/>
      </w:pPr>
      <w:r>
        <w:rPr>
          <w:rFonts w:ascii="Arial" w:cs="Arial" w:eastAsia="Arial" w:hAnsi="Arial"/>
          <w:b/>
          <w:bCs/>
          <w:color w:val="1F3A5F"/>
          <w:sz w:val="26"/>
          <w:szCs w:val="26"/>
        </w:rPr>
        <w:t xml:space="preserve">3.2 Servicio al Cliente B2B</w:t>
      </w:r>
    </w:p>
    <w:p>
      <w:pPr>
        <w:spacing w:after="100" w:line="280"/>
        <w:jc w:val="left"/>
      </w:pPr>
      <w:r>
        <w:rPr>
          <w:rFonts w:ascii="Arial" w:cs="Arial" w:eastAsia="Arial" w:hAnsi="Arial"/>
          <w:i/>
          <w:iCs/>
          <w:color w:val="6B7280"/>
          <w:sz w:val="20"/>
          <w:szCs w:val="20"/>
        </w:rPr>
        <w:t xml:space="preserve">Archivo: Kit_Servicio_Cliente_B2B.xlsx</w:t>
      </w:r>
    </w:p>
    <w:p>
      <w:pPr>
        <w:spacing w:after="100" w:line="280"/>
        <w:jc w:val="both"/>
      </w:pPr>
      <w:r>
        <w:rPr>
          <w:rFonts w:ascii="Arial" w:cs="Arial" w:eastAsia="Arial" w:hAnsi="Arial"/>
          <w:b/>
          <w:bCs/>
          <w:sz w:val="22"/>
          <w:szCs w:val="22"/>
        </w:rPr>
        <w:t xml:space="preserve">Propósito. </w:t>
      </w:r>
      <w:r>
        <w:rPr>
          <w:rFonts w:ascii="Arial" w:cs="Arial" w:eastAsia="Arial" w:hAnsi="Arial"/>
          <w:sz w:val="22"/>
          <w:szCs w:val="22"/>
        </w:rPr>
        <w:t xml:space="preserve">Identificar oportunidades de IA en operaciones de soporte técnico y atención a cuentas estratégicas, con énfasis en productividad del agente, calidad de servicio y retención. </w:t>
      </w:r>
      <w:r>
        <w:rPr>
          <w:rFonts w:ascii="Arial" w:cs="Arial" w:eastAsia="Arial" w:hAnsi="Arial"/>
          <w:b/>
          <w:bCs/>
          <w:sz w:val="22"/>
          <w:szCs w:val="22"/>
        </w:rPr>
        <w:t xml:space="preserve">Estructura del catálogo. </w:t>
      </w:r>
      <w:r>
        <w:rPr>
          <w:rFonts w:ascii="Arial" w:cs="Arial" w:eastAsia="Arial" w:hAnsi="Arial"/>
          <w:sz w:val="22"/>
          <w:szCs w:val="22"/>
        </w:rPr>
        <w:t xml:space="preserve">13 casos cubriendo el ciclo completo del ticket y la salud de la cuenta: copiloto del agente, búsqueda semántica en KB, clasificación y enrutamiento, predicción de escalamiento, análisis de sentimiento, predicción de churn, asistente de portal y QA automatizado.</w:t>
      </w:r>
    </w:p>
    <w:p>
      <w:pPr>
        <w:spacing w:after="200" w:line="280"/>
        <w:jc w:val="both"/>
      </w:pPr>
      <w:r>
        <w:rPr>
          <w:rFonts w:ascii="Arial" w:cs="Arial" w:eastAsia="Arial" w:hAnsi="Arial"/>
          <w:b/>
          <w:bCs/>
          <w:sz w:val="22"/>
          <w:szCs w:val="22"/>
        </w:rPr>
        <w:t xml:space="preserve">Casos representativos. </w:t>
      </w:r>
      <w:r>
        <w:rPr>
          <w:rFonts w:ascii="Arial" w:cs="Arial" w:eastAsia="Arial" w:hAnsi="Arial"/>
          <w:sz w:val="22"/>
          <w:szCs w:val="22"/>
        </w:rPr>
        <w:t xml:space="preserve">Copiloto del agente en tiempo real · Búsqueda semántica en KB técnica · Resumen automático de tickets · Clasificación y enrutamiento automático · Predicción de churn de cuentas · QA automatizado de interacciones. </w:t>
      </w:r>
      <w:r>
        <w:rPr>
          <w:rFonts w:ascii="Arial" w:cs="Arial" w:eastAsia="Arial" w:hAnsi="Arial"/>
          <w:b/>
          <w:bCs/>
          <w:sz w:val="22"/>
          <w:szCs w:val="22"/>
        </w:rPr>
        <w:t xml:space="preserve">KPIs típicos. </w:t>
      </w:r>
      <w:r>
        <w:rPr>
          <w:rFonts w:ascii="Arial" w:cs="Arial" w:eastAsia="Arial" w:hAnsi="Arial"/>
          <w:sz w:val="22"/>
          <w:szCs w:val="22"/>
        </w:rPr>
        <w:t xml:space="preserve">AHT, FCR, NPS, deflection rate, tasa de escalamiento, retención de cuentas, % SLA cumplido. </w:t>
      </w:r>
      <w:r>
        <w:rPr>
          <w:rFonts w:ascii="Arial" w:cs="Arial" w:eastAsia="Arial" w:hAnsi="Arial"/>
          <w:b/>
          <w:bCs/>
          <w:sz w:val="22"/>
          <w:szCs w:val="22"/>
        </w:rPr>
        <w:t xml:space="preserve">Particularidad. </w:t>
      </w:r>
      <w:r>
        <w:rPr>
          <w:rFonts w:ascii="Arial" w:cs="Arial" w:eastAsia="Arial" w:hAnsi="Arial"/>
          <w:sz w:val="22"/>
          <w:szCs w:val="22"/>
        </w:rPr>
        <w:t xml:space="preserve">Foco B2B con cuentas estratégicas; los casos están pensados para complejidad técnica de soporte, no para call centers de masa.</w:t>
      </w:r>
    </w:p>
    <w:p>
      <w:pPr>
        <w:pStyle w:val="Heading2"/>
        <w:spacing w:after="140" w:before="280"/>
      </w:pPr>
      <w:r>
        <w:rPr>
          <w:rFonts w:ascii="Arial" w:cs="Arial" w:eastAsia="Arial" w:hAnsi="Arial"/>
          <w:b/>
          <w:bCs/>
          <w:color w:val="1F3A5F"/>
          <w:sz w:val="26"/>
          <w:szCs w:val="26"/>
        </w:rPr>
        <w:t xml:space="preserve">3.3 Operaciones de Planta (PYME industrial)</w:t>
      </w:r>
    </w:p>
    <w:p>
      <w:pPr>
        <w:spacing w:after="100" w:line="280"/>
        <w:jc w:val="left"/>
      </w:pPr>
      <w:r>
        <w:rPr>
          <w:rFonts w:ascii="Arial" w:cs="Arial" w:eastAsia="Arial" w:hAnsi="Arial"/>
          <w:i/>
          <w:iCs/>
          <w:color w:val="6B7280"/>
          <w:sz w:val="20"/>
          <w:szCs w:val="20"/>
        </w:rPr>
        <w:t xml:space="preserve">Archivo: Kit_Operaciones_Planta_PYME.xlsx</w:t>
      </w:r>
    </w:p>
    <w:p>
      <w:pPr>
        <w:spacing w:after="100" w:line="280"/>
        <w:jc w:val="both"/>
      </w:pPr>
      <w:r>
        <w:rPr>
          <w:rFonts w:ascii="Arial" w:cs="Arial" w:eastAsia="Arial" w:hAnsi="Arial"/>
          <w:b/>
          <w:bCs/>
          <w:sz w:val="22"/>
          <w:szCs w:val="22"/>
        </w:rPr>
        <w:t xml:space="preserve">Propósito. </w:t>
      </w:r>
      <w:r>
        <w:rPr>
          <w:rFonts w:ascii="Arial" w:cs="Arial" w:eastAsia="Arial" w:hAnsi="Arial"/>
          <w:sz w:val="22"/>
          <w:szCs w:val="22"/>
        </w:rPr>
        <w:t xml:space="preserve">Identificar oportunidades de IA en planta industrial PYME con foco en mantenimiento, calidad y planificación de demanda. Incluye explícitamente el diagnóstico de readiness operativo previo (sensores, MES, conectividad). </w:t>
      </w:r>
      <w:r>
        <w:rPr>
          <w:rFonts w:ascii="Arial" w:cs="Arial" w:eastAsia="Arial" w:hAnsi="Arial"/>
          <w:b/>
          <w:bCs/>
          <w:sz w:val="22"/>
          <w:szCs w:val="22"/>
        </w:rPr>
        <w:t xml:space="preserve">Estructura del catálogo. </w:t>
      </w:r>
      <w:r>
        <w:rPr>
          <w:rFonts w:ascii="Arial" w:cs="Arial" w:eastAsia="Arial" w:hAnsi="Arial"/>
          <w:sz w:val="22"/>
          <w:szCs w:val="22"/>
        </w:rPr>
        <w:t xml:space="preserve">10 casos organizados en 4 categorías: mantenimiento inteligente, calidad y detección de defectos, modelamiento de demanda y planificación, y soporte al operador.</w:t>
      </w:r>
    </w:p>
    <w:p>
      <w:pPr>
        <w:spacing w:after="200" w:line="280"/>
        <w:jc w:val="both"/>
      </w:pPr>
      <w:r>
        <w:rPr>
          <w:rFonts w:ascii="Arial" w:cs="Arial" w:eastAsia="Arial" w:hAnsi="Arial"/>
          <w:b/>
          <w:bCs/>
          <w:sz w:val="22"/>
          <w:szCs w:val="22"/>
        </w:rPr>
        <w:t xml:space="preserve">Casos representativos. </w:t>
      </w:r>
      <w:r>
        <w:rPr>
          <w:rFonts w:ascii="Arial" w:cs="Arial" w:eastAsia="Arial" w:hAnsi="Arial"/>
          <w:sz w:val="22"/>
          <w:szCs w:val="22"/>
        </w:rPr>
        <w:t xml:space="preserve">App integral de mantenimiento inteligente · Mantenimiento basado en condición · Inspección visual de defectos · Predicción de calidad y desviaciones de proceso · Forecast de demanda multi-horizonte · Optimización del plan de producción. </w:t>
      </w:r>
      <w:r>
        <w:rPr>
          <w:rFonts w:ascii="Arial" w:cs="Arial" w:eastAsia="Arial" w:hAnsi="Arial"/>
          <w:b/>
          <w:bCs/>
          <w:sz w:val="22"/>
          <w:szCs w:val="22"/>
        </w:rPr>
        <w:t xml:space="preserve">KPIs típicos. </w:t>
      </w:r>
      <w:r>
        <w:rPr>
          <w:rFonts w:ascii="Arial" w:cs="Arial" w:eastAsia="Arial" w:hAnsi="Arial"/>
          <w:sz w:val="22"/>
          <w:szCs w:val="22"/>
        </w:rPr>
        <w:t xml:space="preserve">OEE, MTBF, MTTR, tasa de no-conformidades, scrap, error de pronóstico (MAPE), cumplimiento del plan. </w:t>
      </w:r>
      <w:r>
        <w:rPr>
          <w:rFonts w:ascii="Arial" w:cs="Arial" w:eastAsia="Arial" w:hAnsi="Arial"/>
          <w:b/>
          <w:bCs/>
          <w:sz w:val="22"/>
          <w:szCs w:val="22"/>
        </w:rPr>
        <w:t xml:space="preserve">Particularidad. </w:t>
      </w:r>
      <w:r>
        <w:rPr>
          <w:rFonts w:ascii="Arial" w:cs="Arial" w:eastAsia="Arial" w:hAnsi="Arial"/>
          <w:sz w:val="22"/>
          <w:szCs w:val="22"/>
        </w:rPr>
        <w:t xml:space="preserve">Incluye hoja "Habilitadores" extendida con diagnóstico operativo (sensorización mínima, conectividad PLC/SCADA, MES, calidad de datos). Es el kit más exigente en pre-requisitos técnicos.</w:t>
      </w:r>
    </w:p>
    <w:p>
      <w:pPr>
        <w:pStyle w:val="Heading2"/>
        <w:spacing w:after="140" w:before="280"/>
      </w:pPr>
      <w:r>
        <w:rPr>
          <w:rFonts w:ascii="Arial" w:cs="Arial" w:eastAsia="Arial" w:hAnsi="Arial"/>
          <w:b/>
          <w:bCs/>
          <w:color w:val="1F3A5F"/>
          <w:sz w:val="26"/>
          <w:szCs w:val="26"/>
        </w:rPr>
        <w:t xml:space="preserve">3.4 Legal y Compliance</w:t>
      </w:r>
    </w:p>
    <w:p>
      <w:pPr>
        <w:spacing w:after="100" w:line="280"/>
        <w:jc w:val="left"/>
      </w:pPr>
      <w:r>
        <w:rPr>
          <w:rFonts w:ascii="Arial" w:cs="Arial" w:eastAsia="Arial" w:hAnsi="Arial"/>
          <w:i/>
          <w:iCs/>
          <w:color w:val="6B7280"/>
          <w:sz w:val="20"/>
          <w:szCs w:val="20"/>
        </w:rPr>
        <w:t xml:space="preserve">Archivo: Kit_Legal_Compliance.xlsx</w:t>
      </w:r>
    </w:p>
    <w:p>
      <w:pPr>
        <w:spacing w:after="100" w:line="280"/>
        <w:jc w:val="both"/>
      </w:pPr>
      <w:r>
        <w:rPr>
          <w:rFonts w:ascii="Arial" w:cs="Arial" w:eastAsia="Arial" w:hAnsi="Arial"/>
          <w:b/>
          <w:bCs/>
          <w:sz w:val="22"/>
          <w:szCs w:val="22"/>
        </w:rPr>
        <w:t xml:space="preserve">Propósito. </w:t>
      </w:r>
      <w:r>
        <w:rPr>
          <w:rFonts w:ascii="Arial" w:cs="Arial" w:eastAsia="Arial" w:hAnsi="Arial"/>
          <w:sz w:val="22"/>
          <w:szCs w:val="22"/>
        </w:rPr>
        <w:t xml:space="preserve">Identificar oportunidades de IA en el área legal y compliance, con énfasis en revisión y generación de contratos, gestión documental, monitoreo regulatorio y auditoría de comunicaciones bajo regímenes de privacidad y de IA. </w:t>
      </w:r>
      <w:r>
        <w:rPr>
          <w:rFonts w:ascii="Arial" w:cs="Arial" w:eastAsia="Arial" w:hAnsi="Arial"/>
          <w:b/>
          <w:bCs/>
          <w:sz w:val="22"/>
          <w:szCs w:val="22"/>
        </w:rPr>
        <w:t xml:space="preserve">Estructura del catálogo. </w:t>
      </w:r>
      <w:r>
        <w:rPr>
          <w:rFonts w:ascii="Arial" w:cs="Arial" w:eastAsia="Arial" w:hAnsi="Arial"/>
          <w:sz w:val="22"/>
          <w:szCs w:val="22"/>
        </w:rPr>
        <w:t xml:space="preserve">11 casos cubriendo todo el ciclo legal: revisión y redlining de contratos, generación de borradores, DPIA asistida, regulatory tracking, asistente de compliance, e-discovery, AML/CFT, monitoreo de comunicaciones, risk register dinámico.</w:t>
      </w:r>
    </w:p>
    <w:p>
      <w:pPr>
        <w:spacing w:after="200" w:line="280"/>
        <w:jc w:val="both"/>
      </w:pPr>
      <w:r>
        <w:rPr>
          <w:rFonts w:ascii="Arial" w:cs="Arial" w:eastAsia="Arial" w:hAnsi="Arial"/>
          <w:b/>
          <w:bCs/>
          <w:sz w:val="22"/>
          <w:szCs w:val="22"/>
        </w:rPr>
        <w:t xml:space="preserve">Casos representativos. </w:t>
      </w:r>
      <w:r>
        <w:rPr>
          <w:rFonts w:ascii="Arial" w:cs="Arial" w:eastAsia="Arial" w:hAnsi="Arial"/>
          <w:sz w:val="22"/>
          <w:szCs w:val="22"/>
        </w:rPr>
        <w:t xml:space="preserve">Revisión automática de contratos · Generación de borradores estándar (NDA, MSA, SOW, DPA) · DPIA asistida · Regulatory change tracking · Asistente conversacional de compliance · E-discovery con clasificación automática. </w:t>
      </w:r>
      <w:r>
        <w:rPr>
          <w:rFonts w:ascii="Arial" w:cs="Arial" w:eastAsia="Arial" w:hAnsi="Arial"/>
          <w:b/>
          <w:bCs/>
          <w:sz w:val="22"/>
          <w:szCs w:val="22"/>
        </w:rPr>
        <w:t xml:space="preserve">KPIs típicos. </w:t>
      </w:r>
      <w:r>
        <w:rPr>
          <w:rFonts w:ascii="Arial" w:cs="Arial" w:eastAsia="Arial" w:hAnsi="Arial"/>
          <w:sz w:val="22"/>
          <w:szCs w:val="22"/>
        </w:rPr>
        <w:t xml:space="preserve">Tiempo de revisión, cobertura regulatoria, calidad del DPIA, riesgo detectado, ahorro en multas evitadas. </w:t>
      </w:r>
      <w:r>
        <w:rPr>
          <w:rFonts w:ascii="Arial" w:cs="Arial" w:eastAsia="Arial" w:hAnsi="Arial"/>
          <w:b/>
          <w:bCs/>
          <w:sz w:val="22"/>
          <w:szCs w:val="22"/>
        </w:rPr>
        <w:t xml:space="preserve">Particularidad. </w:t>
      </w:r>
      <w:r>
        <w:rPr>
          <w:rFonts w:ascii="Arial" w:cs="Arial" w:eastAsia="Arial" w:hAnsi="Arial"/>
          <w:sz w:val="22"/>
          <w:szCs w:val="22"/>
        </w:rPr>
        <w:t xml:space="preserve">Quinta hoja "Tabla Maestra de Jurisdicciones" con datos consolidados de protección de datos e IA por país (México, Brasil, Argentina, Chile, Colombia, Perú, Ecuador, Uruguay, USA, UK), incluyendo norma principal, autoridad, exigibilidad de DPIA, sanciones y aplicabilidad extraterritorial del EU AI Act.</w:t>
      </w:r>
    </w:p>
    <w:p>
      <w:pPr>
        <w:pStyle w:val="Heading2"/>
        <w:spacing w:after="140" w:before="280"/>
      </w:pPr>
      <w:r>
        <w:rPr>
          <w:rFonts w:ascii="Arial" w:cs="Arial" w:eastAsia="Arial" w:hAnsi="Arial"/>
          <w:b/>
          <w:bCs/>
          <w:color w:val="1F3A5F"/>
          <w:sz w:val="26"/>
          <w:szCs w:val="26"/>
        </w:rPr>
        <w:t xml:space="preserve">3.5 Marketing y Generación de Demanda B2B</w:t>
      </w:r>
    </w:p>
    <w:p>
      <w:pPr>
        <w:spacing w:after="100" w:line="280"/>
        <w:jc w:val="left"/>
      </w:pPr>
      <w:r>
        <w:rPr>
          <w:rFonts w:ascii="Arial" w:cs="Arial" w:eastAsia="Arial" w:hAnsi="Arial"/>
          <w:i/>
          <w:iCs/>
          <w:color w:val="6B7280"/>
          <w:sz w:val="20"/>
          <w:szCs w:val="20"/>
        </w:rPr>
        <w:t xml:space="preserve">Archivo: Kit_Marketing_DemandGen_B2B.xlsx</w:t>
      </w:r>
    </w:p>
    <w:p>
      <w:pPr>
        <w:spacing w:after="100" w:line="280"/>
        <w:jc w:val="both"/>
      </w:pPr>
      <w:r>
        <w:rPr>
          <w:rFonts w:ascii="Arial" w:cs="Arial" w:eastAsia="Arial" w:hAnsi="Arial"/>
          <w:b/>
          <w:bCs/>
          <w:sz w:val="22"/>
          <w:szCs w:val="22"/>
        </w:rPr>
        <w:t xml:space="preserve">Propósito. </w:t>
      </w:r>
      <w:r>
        <w:rPr>
          <w:rFonts w:ascii="Arial" w:cs="Arial" w:eastAsia="Arial" w:hAnsi="Arial"/>
          <w:sz w:val="22"/>
          <w:szCs w:val="22"/>
        </w:rPr>
        <w:t xml:space="preserve">Identificar oportunidades de IA en marketing B2B con foco en generación de demanda y calificación de leads, y en producción/personalización de contenido a escala. Es la contraparte natural del kit de Ventas B2B. </w:t>
      </w:r>
      <w:r>
        <w:rPr>
          <w:rFonts w:ascii="Arial" w:cs="Arial" w:eastAsia="Arial" w:hAnsi="Arial"/>
          <w:b/>
          <w:bCs/>
          <w:sz w:val="22"/>
          <w:szCs w:val="22"/>
        </w:rPr>
        <w:t xml:space="preserve">Estructura del catálogo. </w:t>
      </w:r>
      <w:r>
        <w:rPr>
          <w:rFonts w:ascii="Arial" w:cs="Arial" w:eastAsia="Arial" w:hAnsi="Arial"/>
          <w:sz w:val="22"/>
          <w:szCs w:val="22"/>
        </w:rPr>
        <w:t xml:space="preserve">12 casos organizados en 2 bloques: generación y calificación de demanda (lead scoring, enriquecimiento, ABM, nurturing, paid media, atribución), y contenido y creatividad (contenido editorial, personalización, multilingüe, creatividades visuales, SEO, chatbot de marketing).</w:t>
      </w:r>
    </w:p>
    <w:p>
      <w:pPr>
        <w:spacing w:after="200" w:line="280"/>
        <w:jc w:val="both"/>
      </w:pPr>
      <w:r>
        <w:rPr>
          <w:rFonts w:ascii="Arial" w:cs="Arial" w:eastAsia="Arial" w:hAnsi="Arial"/>
          <w:b/>
          <w:bCs/>
          <w:sz w:val="22"/>
          <w:szCs w:val="22"/>
        </w:rPr>
        <w:t xml:space="preserve">Casos representativos. </w:t>
      </w:r>
      <w:r>
        <w:rPr>
          <w:rFonts w:ascii="Arial" w:cs="Arial" w:eastAsia="Arial" w:hAnsi="Arial"/>
          <w:sz w:val="22"/>
          <w:szCs w:val="22"/>
        </w:rPr>
        <w:t xml:space="preserve">Lead scoring inbound predictivo · Enriquecimiento automático de leads · Account-based intelligence · Email nurturing inteligente · Generación de contenido editorial B2B · Personalización a escala · Chatbot conversacional en sitio web. </w:t>
      </w:r>
      <w:r>
        <w:rPr>
          <w:rFonts w:ascii="Arial" w:cs="Arial" w:eastAsia="Arial" w:hAnsi="Arial"/>
          <w:b/>
          <w:bCs/>
          <w:sz w:val="22"/>
          <w:szCs w:val="22"/>
        </w:rPr>
        <w:t xml:space="preserve">KPIs típicos. </w:t>
      </w:r>
      <w:r>
        <w:rPr>
          <w:rFonts w:ascii="Arial" w:cs="Arial" w:eastAsia="Arial" w:hAnsi="Arial"/>
          <w:sz w:val="22"/>
          <w:szCs w:val="22"/>
        </w:rPr>
        <w:t xml:space="preserve">Conversión MQL→SQL, CPL, CAC, ROAS, velocidad de pipeline, volumen y velocidad de publicación, engagement, tráfico orgánico. </w:t>
      </w:r>
      <w:r>
        <w:rPr>
          <w:rFonts w:ascii="Arial" w:cs="Arial" w:eastAsia="Arial" w:hAnsi="Arial"/>
          <w:b/>
          <w:bCs/>
          <w:sz w:val="22"/>
          <w:szCs w:val="22"/>
        </w:rPr>
        <w:t xml:space="preserve">Particularidad. </w:t>
      </w:r>
      <w:r>
        <w:rPr>
          <w:rFonts w:ascii="Arial" w:cs="Arial" w:eastAsia="Arial" w:hAnsi="Arial"/>
          <w:sz w:val="22"/>
          <w:szCs w:val="22"/>
        </w:rPr>
        <w:t xml:space="preserve">Incluye "Marketing Stack Maturity" con diagnóstico de marketing automation, CDP, datos first-party, biblioteca de contenido y alineación con Ventas.</w:t>
      </w:r>
    </w:p>
    <w:p>
      <w:pPr>
        <w:pStyle w:val="Heading2"/>
        <w:spacing w:after="140" w:before="280"/>
      </w:pPr>
      <w:r>
        <w:rPr>
          <w:rFonts w:ascii="Arial" w:cs="Arial" w:eastAsia="Arial" w:hAnsi="Arial"/>
          <w:b/>
          <w:bCs/>
          <w:color w:val="1F3A5F"/>
          <w:sz w:val="26"/>
          <w:szCs w:val="26"/>
        </w:rPr>
        <w:t xml:space="preserve">3.6 Recursos Humanos y Talento</w:t>
      </w:r>
    </w:p>
    <w:p>
      <w:pPr>
        <w:spacing w:after="100" w:line="280"/>
        <w:jc w:val="left"/>
      </w:pPr>
      <w:r>
        <w:rPr>
          <w:rFonts w:ascii="Arial" w:cs="Arial" w:eastAsia="Arial" w:hAnsi="Arial"/>
          <w:i/>
          <w:iCs/>
          <w:color w:val="6B7280"/>
          <w:sz w:val="20"/>
          <w:szCs w:val="20"/>
        </w:rPr>
        <w:t xml:space="preserve">Archivo: Kit_RRHH_Talento.xlsx</w:t>
      </w:r>
    </w:p>
    <w:p>
      <w:pPr>
        <w:spacing w:after="100" w:line="280"/>
        <w:jc w:val="both"/>
      </w:pPr>
      <w:r>
        <w:rPr>
          <w:rFonts w:ascii="Arial" w:cs="Arial" w:eastAsia="Arial" w:hAnsi="Arial"/>
          <w:b/>
          <w:bCs/>
          <w:sz w:val="22"/>
          <w:szCs w:val="22"/>
        </w:rPr>
        <w:t xml:space="preserve">Propósito. </w:t>
      </w:r>
      <w:r>
        <w:rPr>
          <w:rFonts w:ascii="Arial" w:cs="Arial" w:eastAsia="Arial" w:hAnsi="Arial"/>
          <w:sz w:val="22"/>
          <w:szCs w:val="22"/>
        </w:rPr>
        <w:t xml:space="preserve">Identificar oportunidades de IA en el ciclo completo de talento (atracción, reclutamiento, onboarding) y en experiencia/retención del empleado. Aborda explícitamente los riesgos de sesgo y compliance laboral. </w:t>
      </w:r>
      <w:r>
        <w:rPr>
          <w:rFonts w:ascii="Arial" w:cs="Arial" w:eastAsia="Arial" w:hAnsi="Arial"/>
          <w:b/>
          <w:bCs/>
          <w:sz w:val="22"/>
          <w:szCs w:val="22"/>
        </w:rPr>
        <w:t xml:space="preserve">Estructura del catálogo. </w:t>
      </w:r>
      <w:r>
        <w:rPr>
          <w:rFonts w:ascii="Arial" w:cs="Arial" w:eastAsia="Arial" w:hAnsi="Arial"/>
          <w:sz w:val="22"/>
          <w:szCs w:val="22"/>
        </w:rPr>
        <w:t xml:space="preserve">8 casos organizados en 2 bloques: ciclo de talento (descripciones de cargo, sourcing y publicación multi-portal Latam vía agentes, screening, asistente de entrevistas, skills inventory interno, onboarding personalizado), y experiencia y retención (copiloto conversacional para empleados, análisis de clima y predicción de rotación).</w:t>
      </w:r>
    </w:p>
    <w:p>
      <w:pPr>
        <w:spacing w:after="200" w:line="280"/>
        <w:jc w:val="both"/>
      </w:pPr>
      <w:r>
        <w:rPr>
          <w:rFonts w:ascii="Arial" w:cs="Arial" w:eastAsia="Arial" w:hAnsi="Arial"/>
          <w:b/>
          <w:bCs/>
          <w:sz w:val="22"/>
          <w:szCs w:val="22"/>
        </w:rPr>
        <w:t xml:space="preserve">Casos representativos. </w:t>
      </w:r>
      <w:r>
        <w:rPr>
          <w:rFonts w:ascii="Arial" w:cs="Arial" w:eastAsia="Arial" w:hAnsi="Arial"/>
          <w:sz w:val="22"/>
          <w:szCs w:val="22"/>
        </w:rPr>
        <w:t xml:space="preserve">Construcción asistida de descripciones de cargo · Publicación multi-portal vía agentes (LinkedIn, Computrabajo, OCC, Bumeran, Trabajando) · Screening y ranking de candidatos · Asistente de entrevistas estructuradas · Skills inventory con búsqueda semántica · HR helpdesk conversacional. </w:t>
      </w:r>
      <w:r>
        <w:rPr>
          <w:rFonts w:ascii="Arial" w:cs="Arial" w:eastAsia="Arial" w:hAnsi="Arial"/>
          <w:b/>
          <w:bCs/>
          <w:sz w:val="22"/>
          <w:szCs w:val="22"/>
        </w:rPr>
        <w:t xml:space="preserve">KPIs típicos. </w:t>
      </w:r>
      <w:r>
        <w:rPr>
          <w:rFonts w:ascii="Arial" w:cs="Arial" w:eastAsia="Arial" w:hAnsi="Arial"/>
          <w:sz w:val="22"/>
          <w:szCs w:val="22"/>
        </w:rPr>
        <w:t xml:space="preserve">Time-to-hire, cost-to-hire, calidad del shortlist, % oferta aceptada, time-to-productivity, retención a 90 días, NPS empleado, tasa de rotación. </w:t>
      </w:r>
      <w:r>
        <w:rPr>
          <w:rFonts w:ascii="Arial" w:cs="Arial" w:eastAsia="Arial" w:hAnsi="Arial"/>
          <w:b/>
          <w:bCs/>
          <w:sz w:val="22"/>
          <w:szCs w:val="22"/>
        </w:rPr>
        <w:t xml:space="preserve">Particularidad. </w:t>
      </w:r>
      <w:r>
        <w:rPr>
          <w:rFonts w:ascii="Arial" w:cs="Arial" w:eastAsia="Arial" w:hAnsi="Arial"/>
          <w:sz w:val="22"/>
          <w:szCs w:val="22"/>
        </w:rPr>
        <w:t xml:space="preserve">El caso "Asistente de entrevistas" lleva un pre-requisito explícitamente marcado: consentimiento por escrito del candidato para grabación. La hoja Habilitadores incluye política interna sobre uso ético de IA en decisiones de personas.</w:t>
      </w:r>
    </w:p>
    <w:p>
      <w:pPr>
        <w:pStyle w:val="Heading2"/>
        <w:spacing w:after="140" w:before="280"/>
      </w:pPr>
      <w:r>
        <w:rPr>
          <w:rFonts w:ascii="Arial" w:cs="Arial" w:eastAsia="Arial" w:hAnsi="Arial"/>
          <w:b/>
          <w:bCs/>
          <w:color w:val="1F3A5F"/>
          <w:sz w:val="26"/>
          <w:szCs w:val="26"/>
        </w:rPr>
        <w:t xml:space="preserve">3.7 Finanzas y Administración</w:t>
      </w:r>
    </w:p>
    <w:p>
      <w:pPr>
        <w:spacing w:after="100" w:line="280"/>
        <w:jc w:val="left"/>
      </w:pPr>
      <w:r>
        <w:rPr>
          <w:rFonts w:ascii="Arial" w:cs="Arial" w:eastAsia="Arial" w:hAnsi="Arial"/>
          <w:i/>
          <w:iCs/>
          <w:color w:val="6B7280"/>
          <w:sz w:val="20"/>
          <w:szCs w:val="20"/>
        </w:rPr>
        <w:t xml:space="preserve">Archivo: Kit_Finanzas_Administracion.xlsx</w:t>
      </w:r>
    </w:p>
    <w:p>
      <w:pPr>
        <w:spacing w:after="100" w:line="280"/>
        <w:jc w:val="both"/>
      </w:pPr>
      <w:r>
        <w:rPr>
          <w:rFonts w:ascii="Arial" w:cs="Arial" w:eastAsia="Arial" w:hAnsi="Arial"/>
          <w:b/>
          <w:bCs/>
          <w:sz w:val="22"/>
          <w:szCs w:val="22"/>
        </w:rPr>
        <w:t xml:space="preserve">Propósito. </w:t>
      </w:r>
      <w:r>
        <w:rPr>
          <w:rFonts w:ascii="Arial" w:cs="Arial" w:eastAsia="Arial" w:hAnsi="Arial"/>
          <w:sz w:val="22"/>
          <w:szCs w:val="22"/>
        </w:rPr>
        <w:t xml:space="preserve">Identificar oportunidades de IA en el ciclo financiero con énfasis en Quick Wins de alto ROI: cobranza, tesorería, contabilidad y FP&amp;A, y compras. La mayoría de los casos son etiquetados Quick Win y resaltados visualmente en verde. </w:t>
      </w:r>
      <w:r>
        <w:rPr>
          <w:rFonts w:ascii="Arial" w:cs="Arial" w:eastAsia="Arial" w:hAnsi="Arial"/>
          <w:b/>
          <w:bCs/>
          <w:sz w:val="22"/>
          <w:szCs w:val="22"/>
        </w:rPr>
        <w:t xml:space="preserve">Estructura del catálogo. </w:t>
      </w:r>
      <w:r>
        <w:rPr>
          <w:rFonts w:ascii="Arial" w:cs="Arial" w:eastAsia="Arial" w:hAnsi="Arial"/>
          <w:sz w:val="22"/>
          <w:szCs w:val="22"/>
        </w:rPr>
        <w:t xml:space="preserve">12 casos en 4 bloques (cobranza, tesorería y cash flow, contabilidad/reportes/FP&amp;A, compras), 9 de ellos Quick Wins.</w:t>
      </w:r>
    </w:p>
    <w:p>
      <w:pPr>
        <w:spacing w:after="200" w:line="280"/>
        <w:jc w:val="both"/>
      </w:pPr>
      <w:r>
        <w:rPr>
          <w:rFonts w:ascii="Arial" w:cs="Arial" w:eastAsia="Arial" w:hAnsi="Arial"/>
          <w:b/>
          <w:bCs/>
          <w:sz w:val="22"/>
          <w:szCs w:val="22"/>
        </w:rPr>
        <w:t xml:space="preserve">Casos representativos. </w:t>
      </w:r>
      <w:r>
        <w:rPr>
          <w:rFonts w:ascii="Arial" w:cs="Arial" w:eastAsia="Arial" w:hAnsi="Arial"/>
          <w:sz w:val="22"/>
          <w:szCs w:val="22"/>
        </w:rPr>
        <w:t xml:space="preserve">Priorización inteligente de cobranza · Conciliación bancaria automática · Forecast de cash flow a 13 semanas · Detección de anomalías en transacciones · Categorización automática de transacciones contables · Generación de reportes ejecutivos · Análisis de variaciones presupuestarias · Copiloto conversacional de FP&amp;A · Comparación de cotizaciones · Spend analytics. </w:t>
      </w:r>
      <w:r>
        <w:rPr>
          <w:rFonts w:ascii="Arial" w:cs="Arial" w:eastAsia="Arial" w:hAnsi="Arial"/>
          <w:b/>
          <w:bCs/>
          <w:sz w:val="22"/>
          <w:szCs w:val="22"/>
        </w:rPr>
        <w:t xml:space="preserve">KPIs típicos. </w:t>
      </w:r>
      <w:r>
        <w:rPr>
          <w:rFonts w:ascii="Arial" w:cs="Arial" w:eastAsia="Arial" w:hAnsi="Arial"/>
          <w:sz w:val="22"/>
          <w:szCs w:val="22"/>
        </w:rPr>
        <w:t xml:space="preserve">DSO, error de forecast de cash, % conciliado automático, días de cierre contable, ahorro identificado en gasto, tiempo de elaboración del paquete ejecutivo. </w:t>
      </w:r>
      <w:r>
        <w:rPr>
          <w:rFonts w:ascii="Arial" w:cs="Arial" w:eastAsia="Arial" w:hAnsi="Arial"/>
          <w:b/>
          <w:bCs/>
          <w:sz w:val="22"/>
          <w:szCs w:val="22"/>
        </w:rPr>
        <w:t xml:space="preserve">Particularidad. </w:t>
      </w:r>
      <w:r>
        <w:rPr>
          <w:rFonts w:ascii="Arial" w:cs="Arial" w:eastAsia="Arial" w:hAnsi="Arial"/>
          <w:sz w:val="22"/>
          <w:szCs w:val="22"/>
        </w:rPr>
        <w:t xml:space="preserve">Quinta hoja "KPIs y Targets" con tabla de baseline-target por caso. El uplift se calcula automáticamente con la fórmula correcta según si el KPI debe reducirse (DSO, errores, tiempos) o aumentarse (% automatizado, ahorro).</w:t>
      </w:r>
    </w:p>
    <w:p>
      <w:pPr>
        <w:pStyle w:val="Heading1"/>
        <w:spacing w:after="180" w:before="360"/>
      </w:pPr>
      <w:r>
        <w:rPr>
          <w:rFonts w:ascii="Arial" w:cs="Arial" w:eastAsia="Arial" w:hAnsi="Arial"/>
          <w:b/>
          <w:bCs/>
          <w:color w:val="1F3A5F"/>
          <w:sz w:val="32"/>
          <w:szCs w:val="32"/>
        </w:rPr>
        <w:t xml:space="preserve">4. Cómo aplicar el módulo</w:t>
      </w:r>
    </w:p>
    <w:p>
      <w:pPr>
        <w:spacing w:after="120" w:before="0" w:line="300"/>
        <w:jc w:val="both"/>
      </w:pPr>
      <w:r>
        <w:rPr>
          <w:rFonts w:ascii="Arial" w:cs="Arial" w:eastAsia="Arial" w:hAnsi="Arial"/>
          <w:b w:val="false"/>
          <w:bCs w:val="false"/>
          <w:i w:val="false"/>
          <w:iCs w:val="false"/>
          <w:sz w:val="22"/>
          <w:szCs w:val="22"/>
        </w:rPr>
        <w:t xml:space="preserve">El Módulo 5 se aplica en cuatro fases. La duración total típica es de tres a cuatro semanas para un cliente con 4-7 áreas en alcance.</w:t>
      </w:r>
    </w:p>
    <w:p>
      <w:pPr>
        <w:pStyle w:val="Heading2"/>
        <w:spacing w:after="140" w:before="280"/>
      </w:pPr>
      <w:r>
        <w:rPr>
          <w:rFonts w:ascii="Arial" w:cs="Arial" w:eastAsia="Arial" w:hAnsi="Arial"/>
          <w:b/>
          <w:bCs/>
          <w:color w:val="1F3A5F"/>
          <w:sz w:val="26"/>
          <w:szCs w:val="26"/>
        </w:rPr>
        <w:t xml:space="preserve">4.1 Fase 1 — Preparación</w:t>
      </w:r>
    </w:p>
    <w:p>
      <w:pPr>
        <w:spacing w:after="120" w:before="0" w:line="300"/>
        <w:jc w:val="both"/>
      </w:pPr>
      <w:r>
        <w:rPr>
          <w:rFonts w:ascii="Arial" w:cs="Arial" w:eastAsia="Arial" w:hAnsi="Arial"/>
          <w:b w:val="false"/>
          <w:bCs w:val="false"/>
          <w:i w:val="false"/>
          <w:iCs w:val="false"/>
          <w:sz w:val="22"/>
          <w:szCs w:val="22"/>
        </w:rPr>
        <w:t xml:space="preserve">Antes de cualquier sesión con cliente, el equipo de consultoría selecciona qué kits aplicar (no necesariamente los siete) según la conversación inicial del Módulo 1. Se identifica un sponsor por área y se calendariza una sesión de trabajo de 2 a 3 horas con cada líder funcional. Se envían los kits con anticipación para una primera lectura.</w:t>
      </w:r>
    </w:p>
    <w:p>
      <w:pPr>
        <w:pStyle w:val="ListParagraph"/>
        <w:numPr>
          <w:ilvl w:val="0"/>
          <w:numId w:val="2"/>
        </w:numPr>
        <w:spacing w:after="80" w:line="280"/>
      </w:pPr>
      <w:r>
        <w:rPr>
          <w:rFonts w:ascii="Arial" w:cs="Arial" w:eastAsia="Arial" w:hAnsi="Arial"/>
          <w:sz w:val="22"/>
          <w:szCs w:val="22"/>
        </w:rPr>
        <w:t xml:space="preserve">Confirmar las áreas a evaluar (típicamente 3-5 de las 7 disponibles).</w:t>
      </w:r>
    </w:p>
    <w:p>
      <w:pPr>
        <w:pStyle w:val="ListParagraph"/>
        <w:numPr>
          <w:ilvl w:val="0"/>
          <w:numId w:val="2"/>
        </w:numPr>
        <w:spacing w:after="80" w:line="280"/>
      </w:pPr>
      <w:r>
        <w:rPr>
          <w:rFonts w:ascii="Arial" w:cs="Arial" w:eastAsia="Arial" w:hAnsi="Arial"/>
          <w:sz w:val="22"/>
          <w:szCs w:val="22"/>
        </w:rPr>
        <w:t xml:space="preserve">Identificar al líder y a un par de cada área, incluyendo a alguien de TI/datos cuando aplique.</w:t>
      </w:r>
    </w:p>
    <w:p>
      <w:pPr>
        <w:pStyle w:val="ListParagraph"/>
        <w:numPr>
          <w:ilvl w:val="0"/>
          <w:numId w:val="2"/>
        </w:numPr>
        <w:spacing w:after="80" w:line="280"/>
      </w:pPr>
      <w:r>
        <w:rPr>
          <w:rFonts w:ascii="Arial" w:cs="Arial" w:eastAsia="Arial" w:hAnsi="Arial"/>
          <w:sz w:val="22"/>
          <w:szCs w:val="22"/>
        </w:rPr>
        <w:t xml:space="preserve">Compartir los archivos Excel con instrucciones de prelectura.</w:t>
      </w:r>
    </w:p>
    <w:p>
      <w:pPr>
        <w:pStyle w:val="Heading2"/>
        <w:spacing w:after="140" w:before="280"/>
      </w:pPr>
      <w:r>
        <w:rPr>
          <w:rFonts w:ascii="Arial" w:cs="Arial" w:eastAsia="Arial" w:hAnsi="Arial"/>
          <w:b/>
          <w:bCs/>
          <w:color w:val="1F3A5F"/>
          <w:sz w:val="26"/>
          <w:szCs w:val="26"/>
        </w:rPr>
        <w:t xml:space="preserve">4.2 Fase 2 — Llenado de los kits</w:t>
      </w:r>
    </w:p>
    <w:p>
      <w:pPr>
        <w:spacing w:after="120" w:before="0" w:line="300"/>
        <w:jc w:val="both"/>
      </w:pPr>
      <w:r>
        <w:rPr>
          <w:rFonts w:ascii="Arial" w:cs="Arial" w:eastAsia="Arial" w:hAnsi="Arial"/>
          <w:b w:val="false"/>
          <w:bCs w:val="false"/>
          <w:i w:val="false"/>
          <w:iCs w:val="false"/>
          <w:sz w:val="22"/>
          <w:szCs w:val="22"/>
        </w:rPr>
        <w:t xml:space="preserve">Cada kit se llena en una sesión guiada de 2 a 3 horas. El consultor abre el archivo y conduce el recorrido, mientras el cliente toma decisiones sobre cada caso y responde el cuestionario. Recomendación: llenar siempre en el orden Catálogo → Cuestionario → Habilitadores → Canvas. El Canvas se completa solo para los 1-3 casos más prometedores identificados en la sesión.</w:t>
      </w:r>
    </w:p>
    <w:p>
      <w:pPr>
        <w:pStyle w:val="ListParagraph"/>
        <w:numPr>
          <w:ilvl w:val="0"/>
          <w:numId w:val="2"/>
        </w:numPr>
        <w:spacing w:after="80" w:line="280"/>
      </w:pPr>
      <w:r>
        <w:rPr>
          <w:rFonts w:ascii="Arial" w:cs="Arial" w:eastAsia="Arial" w:hAnsi="Arial"/>
          <w:sz w:val="22"/>
          <w:szCs w:val="22"/>
        </w:rPr>
        <w:t xml:space="preserve">Catálogo: marcar Sí / Tal vez / No por caso, anotando matices en Notas.</w:t>
      </w:r>
    </w:p>
    <w:p>
      <w:pPr>
        <w:pStyle w:val="ListParagraph"/>
        <w:numPr>
          <w:ilvl w:val="0"/>
          <w:numId w:val="2"/>
        </w:numPr>
        <w:spacing w:after="80" w:line="280"/>
      </w:pPr>
      <w:r>
        <w:rPr>
          <w:rFonts w:ascii="Arial" w:cs="Arial" w:eastAsia="Arial" w:hAnsi="Arial"/>
          <w:sz w:val="22"/>
          <w:szCs w:val="22"/>
        </w:rPr>
        <w:t xml:space="preserve">Cuestionario: 16 preguntas en escala 1-5, idealmente con dos perspectivas.</w:t>
      </w:r>
    </w:p>
    <w:p>
      <w:pPr>
        <w:pStyle w:val="ListParagraph"/>
        <w:numPr>
          <w:ilvl w:val="0"/>
          <w:numId w:val="2"/>
        </w:numPr>
        <w:spacing w:after="80" w:line="280"/>
      </w:pPr>
      <w:r>
        <w:rPr>
          <w:rFonts w:ascii="Arial" w:cs="Arial" w:eastAsia="Arial" w:hAnsi="Arial"/>
          <w:sz w:val="22"/>
          <w:szCs w:val="22"/>
        </w:rPr>
        <w:t xml:space="preserve">Habilitadores: marcar el estado de los 20 habilitadores con honestidad.</w:t>
      </w:r>
    </w:p>
    <w:p>
      <w:pPr>
        <w:pStyle w:val="ListParagraph"/>
        <w:numPr>
          <w:ilvl w:val="0"/>
          <w:numId w:val="2"/>
        </w:numPr>
        <w:spacing w:after="80" w:line="280"/>
      </w:pPr>
      <w:r>
        <w:rPr>
          <w:rFonts w:ascii="Arial" w:cs="Arial" w:eastAsia="Arial" w:hAnsi="Arial"/>
          <w:sz w:val="22"/>
          <w:szCs w:val="22"/>
        </w:rPr>
        <w:t xml:space="preserve">Canvas: completar para 1-3 casos prioritarios en la misma sesión o como tarea posterior.</w:t>
      </w:r>
    </w:p>
    <w:p>
      <w:pPr>
        <w:pStyle w:val="Heading2"/>
        <w:spacing w:after="140" w:before="280"/>
      </w:pPr>
      <w:r>
        <w:rPr>
          <w:rFonts w:ascii="Arial" w:cs="Arial" w:eastAsia="Arial" w:hAnsi="Arial"/>
          <w:b/>
          <w:bCs/>
          <w:color w:val="1F3A5F"/>
          <w:sz w:val="26"/>
          <w:szCs w:val="26"/>
        </w:rPr>
        <w:t xml:space="preserve">4.3 Fase 3 — Síntesis y priorización</w:t>
      </w:r>
    </w:p>
    <w:p>
      <w:pPr>
        <w:spacing w:after="120" w:before="0" w:line="300"/>
        <w:jc w:val="both"/>
      </w:pPr>
      <w:r>
        <w:rPr>
          <w:rFonts w:ascii="Arial" w:cs="Arial" w:eastAsia="Arial" w:hAnsi="Arial"/>
          <w:b w:val="false"/>
          <w:bCs w:val="false"/>
          <w:i w:val="false"/>
          <w:iCs w:val="false"/>
          <w:sz w:val="22"/>
          <w:szCs w:val="22"/>
        </w:rPr>
        <w:t xml:space="preserve">Una vez llenos los kits de las áreas en alcance, el equipo de consultoría sintetiza los resultados en una vista comparativa: qué áreas están en cada cuadrante de la matriz Pain × Readiness, qué casos aparecen como Quick Wins prioritarios y qué habilitadores transversales hay que construir. La síntesis alimenta directamente la cartera del Módulo 2.</w:t>
      </w:r>
    </w:p>
    <w:p>
      <w:pPr>
        <w:pStyle w:val="Heading2"/>
        <w:spacing w:after="140" w:before="280"/>
      </w:pPr>
      <w:r>
        <w:rPr>
          <w:rFonts w:ascii="Arial" w:cs="Arial" w:eastAsia="Arial" w:hAnsi="Arial"/>
          <w:b/>
          <w:bCs/>
          <w:color w:val="1F3A5F"/>
          <w:sz w:val="26"/>
          <w:szCs w:val="26"/>
        </w:rPr>
        <w:t xml:space="preserve">4.4 Fase 4 — Entrega al Módulo 2 y al Módulo 3</w:t>
      </w:r>
    </w:p>
    <w:p>
      <w:pPr>
        <w:spacing w:after="120" w:before="0" w:line="300"/>
        <w:jc w:val="both"/>
      </w:pPr>
      <w:r>
        <w:rPr>
          <w:rFonts w:ascii="Arial" w:cs="Arial" w:eastAsia="Arial" w:hAnsi="Arial"/>
          <w:b w:val="false"/>
          <w:bCs w:val="false"/>
          <w:i w:val="false"/>
          <w:iCs w:val="false"/>
          <w:sz w:val="22"/>
          <w:szCs w:val="22"/>
        </w:rPr>
        <w:t xml:space="preserve">Cada Canvas completo se traslada a la plantilla de oportunidad del Módulo 2 como entrada formal a la cartera. La cartera consolidada pasa al Módulo 3 para la priorización por impacto y viabilidad y al Módulo 4 para la decisión de familia técnica de IA. El Módulo 5 cierra cuando la cartera está documentada y aceptada por el sponsor.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6"/>
              <w:left w:val="single" w:color="1F3A5F" w:sz="6"/>
              <w:bottom w:val="single" w:color="1F3A5F" w:sz="6"/>
              <w:right w:val="single" w:color="1F3A5F" w:sz="6"/>
            </w:tcBorders>
            <w:shd w:fill="E8EEF4" w:val="clear"/>
            <w:tcMar>
              <w:top w:type="dxa" w:w="160"/>
              <w:left w:type="dxa" w:w="240"/>
              <w:bottom w:type="dxa" w:w="160"/>
              <w:right w:type="dxa" w:w="240"/>
            </w:tcMar>
          </w:tcPr>
          <w:p>
            <w:pPr>
              <w:spacing w:after="100"/>
            </w:pPr>
            <w:r>
              <w:rPr>
                <w:rFonts w:ascii="Arial" w:cs="Arial" w:eastAsia="Arial" w:hAnsi="Arial"/>
                <w:b/>
                <w:bCs/>
                <w:color w:val="1F3A5F"/>
                <w:sz w:val="22"/>
                <w:szCs w:val="22"/>
              </w:rPr>
              <w:t xml:space="preserve">Recomendación operativa</w:t>
            </w:r>
          </w:p>
          <w:p>
            <w:pPr>
              <w:spacing w:after="0" w:line="280"/>
              <w:jc w:val="both"/>
            </w:pPr>
            <w:r>
              <w:rPr>
                <w:rFonts w:ascii="Arial" w:cs="Arial" w:eastAsia="Arial" w:hAnsi="Arial"/>
                <w:sz w:val="22"/>
                <w:szCs w:val="22"/>
              </w:rPr>
              <w:t xml:space="preserve">No intentar llenar los kits de manera autónoma sin un consultor en la primera iteración. La calidad de las respuestas y el compromiso del cliente con las recomendaciones suben dramáticamente cuando hay un facilitador externo conduciendo la conversación.</w:t>
            </w:r>
          </w:p>
        </w:tc>
      </w:tr>
    </w:tbl>
    <w:p>
      <w:pPr>
        <w:pStyle w:val="Heading1"/>
        <w:spacing w:after="180" w:before="360"/>
      </w:pPr>
      <w:r>
        <w:rPr>
          <w:rFonts w:ascii="Arial" w:cs="Arial" w:eastAsia="Arial" w:hAnsi="Arial"/>
          <w:b/>
          <w:bCs/>
          <w:color w:val="1F3A5F"/>
          <w:sz w:val="32"/>
          <w:szCs w:val="32"/>
        </w:rPr>
        <w:t xml:space="preserve">5. Errores comunes y consejos de facilitación</w:t>
      </w:r>
    </w:p>
    <w:p>
      <w:pPr>
        <w:pStyle w:val="Heading2"/>
        <w:spacing w:after="140" w:before="280"/>
      </w:pPr>
      <w:r>
        <w:rPr>
          <w:rFonts w:ascii="Arial" w:cs="Arial" w:eastAsia="Arial" w:hAnsi="Arial"/>
          <w:b/>
          <w:bCs/>
          <w:color w:val="1F3A5F"/>
          <w:sz w:val="26"/>
          <w:szCs w:val="26"/>
        </w:rPr>
        <w:t xml:space="preserve">5.1 Cinco errores frecuentes al llenar los kits</w:t>
      </w:r>
    </w:p>
    <w:p>
      <w:pPr>
        <w:pStyle w:val="ListParagraph"/>
        <w:numPr>
          <w:ilvl w:val="0"/>
          <w:numId w:val="2"/>
        </w:numPr>
        <w:spacing w:after="80" w:line="280"/>
      </w:pPr>
      <w:r>
        <w:rPr>
          <w:rFonts w:ascii="Arial" w:cs="Arial" w:eastAsia="Arial" w:hAnsi="Arial"/>
          <w:b/>
          <w:bCs/>
          <w:sz w:val="22"/>
          <w:szCs w:val="22"/>
        </w:rPr>
        <w:t xml:space="preserve">Confundir el Catálogo con un menú: </w:t>
      </w:r>
      <w:r>
        <w:rPr>
          <w:rFonts w:ascii="Arial" w:cs="Arial" w:eastAsia="Arial" w:hAnsi="Arial"/>
          <w:sz w:val="22"/>
          <w:szCs w:val="22"/>
        </w:rPr>
        <w:t xml:space="preserve">el cliente tiende a marcar "Sí" en muchos casos por entusiasmo. Forzar la pregunta "¿esto es realmente prioritario o sólo interesante?" antes de cerrar el kit.</w:t>
      </w:r>
    </w:p>
    <w:p>
      <w:pPr>
        <w:pStyle w:val="ListParagraph"/>
        <w:numPr>
          <w:ilvl w:val="0"/>
          <w:numId w:val="2"/>
        </w:numPr>
        <w:spacing w:after="80" w:line="280"/>
      </w:pPr>
      <w:r>
        <w:rPr>
          <w:rFonts w:ascii="Arial" w:cs="Arial" w:eastAsia="Arial" w:hAnsi="Arial"/>
          <w:b/>
          <w:bCs/>
          <w:sz w:val="22"/>
          <w:szCs w:val="22"/>
        </w:rPr>
        <w:t xml:space="preserve">Sobreestimar la readiness: </w:t>
      </w:r>
      <w:r>
        <w:rPr>
          <w:rFonts w:ascii="Arial" w:cs="Arial" w:eastAsia="Arial" w:hAnsi="Arial"/>
          <w:sz w:val="22"/>
          <w:szCs w:val="22"/>
        </w:rPr>
        <w:t xml:space="preserve">es el error más caro. Un Cuestionario con respuestas optimistas conduce a recomendaciones de Quick Win sobre un terreno que no las soporta. Pedir evidencia: ¿qué dato específico hay disponible y dónde?</w:t>
      </w:r>
    </w:p>
    <w:p>
      <w:pPr>
        <w:pStyle w:val="ListParagraph"/>
        <w:numPr>
          <w:ilvl w:val="0"/>
          <w:numId w:val="2"/>
        </w:numPr>
        <w:spacing w:after="80" w:line="280"/>
      </w:pPr>
      <w:r>
        <w:rPr>
          <w:rFonts w:ascii="Arial" w:cs="Arial" w:eastAsia="Arial" w:hAnsi="Arial"/>
          <w:b/>
          <w:bCs/>
          <w:sz w:val="22"/>
          <w:szCs w:val="22"/>
        </w:rPr>
        <w:t xml:space="preserve">Llenar el Canvas sin cuantificar: </w:t>
      </w:r>
      <w:r>
        <w:rPr>
          <w:rFonts w:ascii="Arial" w:cs="Arial" w:eastAsia="Arial" w:hAnsi="Arial"/>
          <w:sz w:val="22"/>
          <w:szCs w:val="22"/>
        </w:rPr>
        <w:t xml:space="preserve">sin USD/mes, número de transacciones, horas-persona ahorradas, el Canvas pierde valor para Módulos 2 y 3. Forzar números aunque sean estimados.</w:t>
      </w:r>
    </w:p>
    <w:p>
      <w:pPr>
        <w:pStyle w:val="ListParagraph"/>
        <w:numPr>
          <w:ilvl w:val="0"/>
          <w:numId w:val="2"/>
        </w:numPr>
        <w:spacing w:after="80" w:line="280"/>
      </w:pPr>
      <w:r>
        <w:rPr>
          <w:rFonts w:ascii="Arial" w:cs="Arial" w:eastAsia="Arial" w:hAnsi="Arial"/>
          <w:b/>
          <w:bCs/>
          <w:sz w:val="22"/>
          <w:szCs w:val="22"/>
        </w:rPr>
        <w:t xml:space="preserve">Ignorar los Habilitadores: </w:t>
      </w:r>
      <w:r>
        <w:rPr>
          <w:rFonts w:ascii="Arial" w:cs="Arial" w:eastAsia="Arial" w:hAnsi="Arial"/>
          <w:sz w:val="22"/>
          <w:szCs w:val="22"/>
        </w:rPr>
        <w:t xml:space="preserve">la hoja se siente "fácil" y a veces se llena rápido sin reflexión. Es la que mejor predice si un Quick Win se sostiene en producción.</w:t>
      </w:r>
    </w:p>
    <w:p>
      <w:pPr>
        <w:pStyle w:val="ListParagraph"/>
        <w:numPr>
          <w:ilvl w:val="0"/>
          <w:numId w:val="2"/>
        </w:numPr>
        <w:spacing w:after="80" w:line="280"/>
      </w:pPr>
      <w:r>
        <w:rPr>
          <w:rFonts w:ascii="Arial" w:cs="Arial" w:eastAsia="Arial" w:hAnsi="Arial"/>
          <w:b/>
          <w:bCs/>
          <w:sz w:val="22"/>
          <w:szCs w:val="22"/>
        </w:rPr>
        <w:t xml:space="preserve">Saltar al Módulo 4 sin completar el Canvas: </w:t>
      </w:r>
      <w:r>
        <w:rPr>
          <w:rFonts w:ascii="Arial" w:cs="Arial" w:eastAsia="Arial" w:hAnsi="Arial"/>
          <w:sz w:val="22"/>
          <w:szCs w:val="22"/>
        </w:rPr>
        <w:t xml:space="preserve">el árbol de decisión de IA opera mejor sobre casos bien especificados; sin Canvas la decisión técnica se vuelve genérica y poco útil.</w:t>
      </w:r>
    </w:p>
    <w:p>
      <w:pPr>
        <w:pStyle w:val="Heading2"/>
        <w:spacing w:after="140" w:before="280"/>
      </w:pPr>
      <w:r>
        <w:rPr>
          <w:rFonts w:ascii="Arial" w:cs="Arial" w:eastAsia="Arial" w:hAnsi="Arial"/>
          <w:b/>
          <w:bCs/>
          <w:color w:val="1F3A5F"/>
          <w:sz w:val="26"/>
          <w:szCs w:val="26"/>
        </w:rPr>
        <w:t xml:space="preserve">5.2 Tips de facilitación</w:t>
      </w:r>
    </w:p>
    <w:p>
      <w:pPr>
        <w:pStyle w:val="ListParagraph"/>
        <w:numPr>
          <w:ilvl w:val="0"/>
          <w:numId w:val="2"/>
        </w:numPr>
        <w:spacing w:after="80" w:line="280"/>
      </w:pPr>
      <w:r>
        <w:rPr>
          <w:rFonts w:ascii="Arial" w:cs="Arial" w:eastAsia="Arial" w:hAnsi="Arial"/>
          <w:sz w:val="22"/>
          <w:szCs w:val="22"/>
        </w:rPr>
        <w:t xml:space="preserve">Llevar a la sesión un caso ya conocido del cliente y usarlo de calentamiento para el Canvas. Reduce la fricción inicial.</w:t>
      </w:r>
    </w:p>
    <w:p>
      <w:pPr>
        <w:pStyle w:val="ListParagraph"/>
        <w:numPr>
          <w:ilvl w:val="0"/>
          <w:numId w:val="2"/>
        </w:numPr>
        <w:spacing w:after="80" w:line="280"/>
      </w:pPr>
      <w:r>
        <w:rPr>
          <w:rFonts w:ascii="Arial" w:cs="Arial" w:eastAsia="Arial" w:hAnsi="Arial"/>
          <w:sz w:val="22"/>
          <w:szCs w:val="22"/>
        </w:rPr>
        <w:t xml:space="preserve">Cuando dos respondedores discrepan en el Cuestionario, no promediar: registrar la diferencia y discutirla. La discusión suele ser más informativa que el puntaje final.</w:t>
      </w:r>
    </w:p>
    <w:p>
      <w:pPr>
        <w:pStyle w:val="ListParagraph"/>
        <w:numPr>
          <w:ilvl w:val="0"/>
          <w:numId w:val="2"/>
        </w:numPr>
        <w:spacing w:after="80" w:line="280"/>
      </w:pPr>
      <w:r>
        <w:rPr>
          <w:rFonts w:ascii="Arial" w:cs="Arial" w:eastAsia="Arial" w:hAnsi="Arial"/>
          <w:sz w:val="22"/>
          <w:szCs w:val="22"/>
        </w:rPr>
        <w:t xml:space="preserve">Si el Pain score sale bajo en un área, plantear honestamente que ese kit puede no ser prioritario hoy y mover el foco a otra área. Mejor cuatro kits con conclusiones claras que siete kits a medias.</w:t>
      </w:r>
    </w:p>
    <w:p>
      <w:pPr>
        <w:pStyle w:val="ListParagraph"/>
        <w:numPr>
          <w:ilvl w:val="0"/>
          <w:numId w:val="2"/>
        </w:numPr>
        <w:spacing w:after="80" w:line="280"/>
      </w:pPr>
      <w:r>
        <w:rPr>
          <w:rFonts w:ascii="Arial" w:cs="Arial" w:eastAsia="Arial" w:hAnsi="Arial"/>
          <w:sz w:val="22"/>
          <w:szCs w:val="22"/>
        </w:rPr>
        <w:t xml:space="preserve">Los casos marcados "Tal vez" suelen contener la verdadera oportunidad: el cliente sabe que es relevante pero no se atreve a comprometerse. Profundizar en ellos antes que en los "Sí" obvios.</w:t>
      </w:r>
    </w:p>
    <w:p>
      <w:pPr>
        <w:pStyle w:val="ListParagraph"/>
        <w:numPr>
          <w:ilvl w:val="0"/>
          <w:numId w:val="2"/>
        </w:numPr>
        <w:spacing w:after="80" w:line="280"/>
      </w:pPr>
      <w:r>
        <w:rPr>
          <w:rFonts w:ascii="Arial" w:cs="Arial" w:eastAsia="Arial" w:hAnsi="Arial"/>
          <w:sz w:val="22"/>
          <w:szCs w:val="22"/>
        </w:rPr>
        <w:t xml:space="preserve">Cerrar la sesión con compromiso explícito sobre los siguientes pasos: qué Canvas se llenan, quién es el sponsor de cada caso y cuándo se revisa con el comité.</w:t>
      </w:r>
    </w:p>
    <w:p>
      <w:pPr>
        <w:pStyle w:val="Heading2"/>
        <w:spacing w:after="140" w:before="280"/>
      </w:pPr>
      <w:r>
        <w:rPr>
          <w:rFonts w:ascii="Arial" w:cs="Arial" w:eastAsia="Arial" w:hAnsi="Arial"/>
          <w:b/>
          <w:bCs/>
          <w:color w:val="1F3A5F"/>
          <w:sz w:val="26"/>
          <w:szCs w:val="26"/>
        </w:rPr>
        <w:t xml:space="preserve">5.3 Cuándo agregar o quitar áreas</w:t>
      </w:r>
    </w:p>
    <w:p>
      <w:pPr>
        <w:spacing w:after="120" w:before="0" w:line="300"/>
        <w:jc w:val="both"/>
      </w:pPr>
      <w:r>
        <w:rPr>
          <w:rFonts w:ascii="Arial" w:cs="Arial" w:eastAsia="Arial" w:hAnsi="Arial"/>
          <w:b w:val="false"/>
          <w:bCs w:val="false"/>
          <w:i w:val="false"/>
          <w:iCs w:val="false"/>
          <w:sz w:val="22"/>
          <w:szCs w:val="22"/>
        </w:rPr>
        <w:t xml:space="preserve">El Módulo 5 está diseñado con siete áreas como base, pero la metodología admite extensiones para sectores específicos. Los criterios para agregar un nuevo kit son: existencia de pain operativo evidenciable, datos mínimamente accesibles, regulación o riesgo identificables y un líder identificable como sponsor. Los kits adicionales más solicitados en la práctica son TI/Desarrollo de Software (con casos de copilotos de código, IT helpdesk y ciberseguridad) y Cadena de Suministro/Logística (cuando Operaciones de Planta no la cubre adecuadamente).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6"/>
              <w:left w:val="single" w:color="1F3A5F" w:sz="6"/>
              <w:bottom w:val="single" w:color="1F3A5F" w:sz="6"/>
              <w:right w:val="single" w:color="1F3A5F" w:sz="6"/>
            </w:tcBorders>
            <w:shd w:fill="E8EEF4" w:val="clear"/>
            <w:tcMar>
              <w:top w:type="dxa" w:w="160"/>
              <w:left w:type="dxa" w:w="240"/>
              <w:bottom w:type="dxa" w:w="160"/>
              <w:right w:type="dxa" w:w="240"/>
            </w:tcMar>
          </w:tcPr>
          <w:p>
            <w:pPr>
              <w:spacing w:after="100"/>
            </w:pPr>
            <w:r>
              <w:rPr>
                <w:rFonts w:ascii="Arial" w:cs="Arial" w:eastAsia="Arial" w:hAnsi="Arial"/>
                <w:b/>
                <w:bCs/>
                <w:color w:val="1F3A5F"/>
                <w:sz w:val="22"/>
                <w:szCs w:val="22"/>
              </w:rPr>
              <w:t xml:space="preserve">Cierre</w:t>
            </w:r>
          </w:p>
          <w:p>
            <w:pPr>
              <w:spacing w:after="0" w:line="280"/>
              <w:jc w:val="both"/>
            </w:pPr>
            <w:r>
              <w:rPr>
                <w:rFonts w:ascii="Arial" w:cs="Arial" w:eastAsia="Arial" w:hAnsi="Arial"/>
                <w:sz w:val="22"/>
                <w:szCs w:val="22"/>
              </w:rPr>
              <w:t xml:space="preserve">El Módulo 5 entrega la materia prima de la transformación con IA: oportunidades concretas, documentadas y evaluadas en su Pain y Readiness. La calidad del módulo se mide por la calidad de las conversaciones que provoca y por la solidez de la cartera que entrega al Módulo 2, no por el número de casos marcados como Sí.</w:t>
            </w:r>
          </w:p>
        </w:tc>
      </w:tr>
    </w:tbl>
    <w:p>
      <w:r>
        <w:rPr>
          <w:rFonts w:ascii="Arial" w:cs="Arial" w:eastAsia="Arial" w:hAnsi="Arial"/>
          <w:sz w:val="22"/>
          <w:szCs w:val="22"/>
        </w:rPr>
        <w:t xml:space="preserve"/>
      </w:r>
    </w:p>
    <w:p>
      <w:pPr>
        <w:spacing w:after="120" w:before="0" w:line="300"/>
        <w:jc w:val="center"/>
      </w:pPr>
      <w:r>
        <w:rPr>
          <w:rFonts w:ascii="Arial" w:cs="Arial" w:eastAsia="Arial" w:hAnsi="Arial"/>
          <w:b w:val="false"/>
          <w:bCs w:val="false"/>
          <w:i/>
          <w:iCs/>
          <w:sz w:val="22"/>
          <w:szCs w:val="22"/>
        </w:rPr>
        <w:t xml:space="preserve">Fin del Módulo 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Módulo 5 — Áreas de Aplicación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A5F"/>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5 — Áreas de Aplicación</dc:title>
  <dc:creator>Noon Dalton Methodology</dc:creator>
  <dc:description>Guía operativa de los siete kits del Módulo 5 y su forma de llenado</dc:description>
  <cp:lastModifiedBy>Un-named</cp:lastModifiedBy>
  <cp:revision>1</cp:revision>
  <dcterms:created xsi:type="dcterms:W3CDTF">2026-05-04T12:45:21.157Z</dcterms:created>
  <dcterms:modified xsi:type="dcterms:W3CDTF">2026-05-04T12:45:21.157Z</dcterms:modified>
</cp:coreProperties>
</file>

<file path=docProps/custom.xml><?xml version="1.0" encoding="utf-8"?>
<Properties xmlns="http://schemas.openxmlformats.org/officeDocument/2006/custom-properties" xmlns:vt="http://schemas.openxmlformats.org/officeDocument/2006/docPropsVTypes"/>
</file>