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rPr>
          <w:rFonts w:ascii="Arial" w:cs="Arial" w:eastAsia="Arial" w:hAnsi="Arial"/>
        </w:rPr>
        <w:t xml:space="preserve"/>
      </w:r>
    </w:p>
    <w:p>
      <w:pPr>
        <w:spacing w:after="240" w:before="0"/>
        <w:jc w:val="left"/>
      </w:pPr>
      <w:r>
        <w:rPr>
          <w:rFonts w:ascii="Arial" w:cs="Arial" w:eastAsia="Arial" w:hAnsi="Arial"/>
          <w:b/>
          <w:bCs/>
          <w:color w:val="2E75B6"/>
          <w:spacing w:val="60"/>
          <w:sz w:val="22"/>
          <w:szCs w:val="22"/>
        </w:rPr>
        <w:t xml:space="preserve">METODOLOGÍA DE IMPLEMENTACIÓN DE IA PARA EMPRESAS</w:t>
      </w:r>
    </w:p>
    <w:p>
      <w:pPr>
        <w:spacing w:after="120" w:before="0"/>
        <w:jc w:val="left"/>
      </w:pPr>
      <w:r>
        <w:rPr>
          <w:rFonts w:ascii="Arial" w:cs="Arial" w:eastAsia="Arial" w:hAnsi="Arial"/>
          <w:b/>
          <w:bCs/>
          <w:color w:val="6B7280"/>
          <w:sz w:val="28"/>
          <w:szCs w:val="28"/>
        </w:rPr>
        <w:t xml:space="preserve">Módulo 6</w:t>
      </w:r>
    </w:p>
    <w:p>
      <w:pPr>
        <w:spacing w:after="0" w:before="0"/>
        <w:jc w:val="left"/>
      </w:pPr>
      <w:r>
        <w:rPr>
          <w:rFonts w:ascii="Arial" w:cs="Arial" w:eastAsia="Arial" w:hAnsi="Arial"/>
          <w:b/>
          <w:bCs/>
          <w:color w:val="1F3A5F"/>
          <w:sz w:val="72"/>
          <w:szCs w:val="72"/>
        </w:rPr>
        <w:t xml:space="preserve">Implementación</w:t>
      </w:r>
    </w:p>
    <w:p>
      <w:pPr>
        <w:spacing w:after="80" w:before="0"/>
        <w:jc w:val="left"/>
      </w:pPr>
      <w:r>
        <w:rPr>
          <w:rFonts w:ascii="Arial" w:cs="Arial" w:eastAsia="Arial" w:hAnsi="Arial"/>
          <w:b/>
          <w:bCs/>
          <w:color w:val="1F3A5F"/>
          <w:sz w:val="72"/>
          <w:szCs w:val="72"/>
        </w:rPr>
        <w:t xml:space="preserve">y Gestión del Cambio</w:t>
      </w:r>
    </w:p>
    <w:p>
      <w:pPr>
        <w:spacing w:after="480" w:before="0"/>
        <w:jc w:val="left"/>
      </w:pPr>
      <w:r>
        <w:rPr>
          <w:rFonts w:ascii="Arial" w:cs="Arial" w:eastAsia="Arial" w:hAnsi="Arial"/>
          <w:i/>
          <w:iCs/>
          <w:color w:val="2D2D2D"/>
          <w:sz w:val="28"/>
          <w:szCs w:val="28"/>
        </w:rPr>
        <w:t xml:space="preserve">Parte A · Implementación técnica  |  Parte B · Adopción y gestión del cambio</w:t>
      </w:r>
    </w:p>
    <w:p>
      <w:pPr>
        <w:pBdr>
          <w:bottom w:val="single" w:color="1F3A5F" w:sz="12" w:space="1"/>
        </w:pBdr>
        <w:spacing w:after="240" w:before="120"/>
      </w:pPr>
      <w:r>
        <w:rPr>
          <w:rFonts w:ascii="Arial" w:cs="Arial" w:eastAsia="Arial" w:hAnsi="Arial"/>
        </w:rPr>
        <w:t xml:space="preserve"> </w:t>
      </w:r>
    </w:p>
    <w:p>
      <w:pPr>
        <w:spacing w:after="360" w:before="120" w:line="360"/>
      </w:pPr>
      <w:r>
        <w:rPr>
          <w:rFonts w:ascii="Arial" w:cs="Arial" w:eastAsia="Arial" w:hAnsi="Arial"/>
          <w:color w:val="2D2D2D"/>
          <w:sz w:val="24"/>
          <w:szCs w:val="24"/>
        </w:rPr>
        <w:t xml:space="preserve">Cómo llevar una decisión de IA del marco al impacto operativo, sin que la madurez tecnológica del cliente o la actitud del personal hacia la automatización maten el proyecto en producción.</w:t>
      </w:r>
    </w:p>
    <w:p>
      <w:pPr>
        <w:spacing w:after="0" w:before="10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DOCUMENTO</w:t>
            </w:r>
          </w:p>
        </w:tc>
        <w:tc>
          <w:tcPr>
            <w:tcW w:type="dxa" w:w="312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ALCANCE</w:t>
            </w:r>
          </w:p>
        </w:tc>
        <w:tc>
          <w:tcPr>
            <w:tcW w:type="dxa" w:w="312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AUDIENCIA</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Ejecutivo de referencia</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Implementación técnica + adopción</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Consultores y líderes de negocio</w:t>
            </w:r>
          </w:p>
        </w:tc>
      </w:tr>
    </w:tbl>
    <w:p>
      <w:pPr>
        <w:spacing w:after="0" w:before="240"/>
      </w:pPr>
      <w:r>
        <w:rPr>
          <w:rFonts w:ascii="Arial" w:cs="Arial" w:eastAsia="Arial" w:hAnsi="Arial"/>
        </w:rPr>
        <w:t xml:space="preserve"/>
      </w:r>
    </w:p>
    <w:p>
      <w:pPr>
        <w:spacing w:after="0" w:before="60"/>
        <w:jc w:val="left"/>
      </w:pPr>
      <w:r>
        <w:rPr>
          <w:rFonts w:ascii="Arial" w:cs="Arial" w:eastAsia="Arial" w:hAnsi="Arial"/>
          <w:color w:val="6B7280"/>
          <w:sz w:val="18"/>
          <w:szCs w:val="18"/>
        </w:rPr>
        <w:t xml:space="preserve">Versión 1.0  |  Documento maestro con dos partes desprendibles</w:t>
      </w:r>
    </w:p>
    <w:p>
      <w:pPr>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pPr>
    </w:p>
    <w:p>
      <w:pPr>
        <w:spacing w:after="40" w:before="60"/>
      </w:pPr>
      <w:r>
        <w:rPr>
          <w:rFonts w:ascii="Arial" w:cs="Arial" w:eastAsia="Arial" w:hAnsi="Arial"/>
          <w:b/>
          <w:bCs/>
          <w:color w:val="2E75B6"/>
          <w:spacing w:val="40"/>
          <w:sz w:val="18"/>
          <w:szCs w:val="18"/>
        </w:rPr>
        <w:t xml:space="preserve">RESUMEN EJECUTIVO DESPRENDIBLE</w:t>
      </w:r>
    </w:p>
    <w:p>
      <w:pPr>
        <w:pStyle w:val="Heading1"/>
        <w:spacing w:after="240" w:before="0"/>
      </w:pPr>
      <w:r>
        <w:rPr>
          <w:rFonts w:ascii="Arial" w:cs="Arial" w:eastAsia="Arial" w:hAnsi="Arial"/>
          <w:b/>
          <w:bCs/>
          <w:color w:val="1F3A5F"/>
          <w:sz w:val="36"/>
          <w:szCs w:val="36"/>
        </w:rPr>
        <w:t xml:space="preserve">En una página: del marco de decisión al impacto sostenido</w:t>
      </w:r>
    </w:p>
    <w:p>
      <w:pPr>
        <w:spacing w:after="180" w:before="120" w:line="320"/>
      </w:pPr>
      <w:r>
        <w:rPr>
          <w:rFonts w:ascii="Arial" w:cs="Arial" w:eastAsia="Arial" w:hAnsi="Arial"/>
          <w:color w:val="2D2D2D"/>
          <w:sz w:val="24"/>
          <w:szCs w:val="24"/>
        </w:rPr>
        <w:t xml:space="preserve">La mayoría de proyectos de IA no fracasan en el modelo. Fracasan en la implementación operativa o en la adopción de los equipos. Este módulo separa esos dos frentes en partes desprendibles: 6A para llevar la solución al ambiente productivo, 6B para que las personas la usen y la sostengan.</w:t>
      </w:r>
    </w:p>
    <w:p>
      <w:pPr>
        <w:pStyle w:val="Heading3"/>
        <w:spacing w:after="100" w:before="200"/>
      </w:pPr>
      <w:r>
        <w:rPr>
          <w:rFonts w:ascii="Arial" w:cs="Arial" w:eastAsia="Arial" w:hAnsi="Arial"/>
          <w:b/>
          <w:bCs/>
          <w:color w:val="2E75B6"/>
          <w:sz w:val="24"/>
          <w:szCs w:val="24"/>
        </w:rPr>
        <w:t xml:space="preserve">Parte A — Implementación técnica</w:t>
      </w:r>
    </w:p>
    <w:p>
      <w:pPr>
        <w:spacing w:after="120" w:before="60" w:line="300"/>
      </w:pPr>
      <w:r>
        <w:rPr>
          <w:rFonts w:ascii="Arial" w:cs="Arial" w:eastAsia="Arial" w:hAnsi="Arial"/>
          <w:color w:val="2D2D2D"/>
          <w:sz w:val="22"/>
          <w:szCs w:val="22"/>
        </w:rPr>
        <w:t xml:space="preserve">Define cómo llevar una decisión de familia (Módulo 4) al ambiente productivo en cinco fases: descubrimiento, prueba de concepto, piloto, escalamiento y operación. Cada fase tiene gates de calidad, entregables, decisiones de paso y criterios de aborto. La parte cierra con un marco de riesgos técnicos específicos de IA (drift, sesgo, alucinación, fuga de datos, prompt injection, dependencia de proveedor) y los controles de mitigación correspondientes.</w:t>
      </w:r>
    </w:p>
    <w:p>
      <w:pPr>
        <w:pStyle w:val="Heading3"/>
        <w:spacing w:after="100" w:before="200"/>
      </w:pPr>
      <w:r>
        <w:rPr>
          <w:rFonts w:ascii="Arial" w:cs="Arial" w:eastAsia="Arial" w:hAnsi="Arial"/>
          <w:b/>
          <w:bCs/>
          <w:color w:val="2E75B6"/>
          <w:sz w:val="24"/>
          <w:szCs w:val="24"/>
        </w:rPr>
        <w:t xml:space="preserve">Parte B — Adopción y gestión del cambio</w:t>
      </w:r>
    </w:p>
    <w:p>
      <w:pPr>
        <w:spacing w:after="120" w:before="60" w:line="300"/>
      </w:pPr>
      <w:r>
        <w:rPr>
          <w:rFonts w:ascii="Arial" w:cs="Arial" w:eastAsia="Arial" w:hAnsi="Arial"/>
          <w:color w:val="2D2D2D"/>
          <w:sz w:val="22"/>
          <w:szCs w:val="22"/>
        </w:rPr>
        <w:t xml:space="preserve">Resuelve el problema que de verdad mata estos proyectos: la madurez tecnológica del cliente y la actitud del personal hacia la automatización. Adopta un marco integrado que toma de ADKAR para el cambio individual, de Kotter para la transformación organizacional y de Bridges para la transición psicológica. Incluye un capítulo dedicado al "miedo al reemplazo" con un framework propio de automatización-aumentación-sustitución, patrones de comunicación, principios éticos y rol del líder.</w:t>
      </w:r>
    </w:p>
    <w:p>
      <w:pPr>
        <w:pStyle w:val="Heading3"/>
        <w:spacing w:after="100" w:before="200"/>
      </w:pPr>
      <w:r>
        <w:rPr>
          <w:rFonts w:ascii="Arial" w:cs="Arial" w:eastAsia="Arial" w:hAnsi="Arial"/>
          <w:b/>
          <w:bCs/>
          <w:color w:val="2E75B6"/>
          <w:sz w:val="24"/>
          <w:szCs w:val="24"/>
        </w:rPr>
        <w:t xml:space="preserve">Cómo se usan las dos partes juntas</w:t>
      </w:r>
    </w:p>
    <w:p>
      <w:pPr>
        <w:spacing w:after="120" w:before="60" w:line="300"/>
      </w:pPr>
      <w:r>
        <w:rPr>
          <w:rFonts w:ascii="Arial" w:cs="Arial" w:eastAsia="Arial" w:hAnsi="Arial"/>
          <w:color w:val="2D2D2D"/>
          <w:sz w:val="22"/>
          <w:szCs w:val="22"/>
        </w:rPr>
        <w:t xml:space="preserve">Las dos partes corren en paralelo, no en secuencia. Desde el primer día del descubrimiento técnico, se activa el trabajo de stakeholder mapping y comunicación. Cuando el piloto entra a producción, los flujos humano-IA y la capacitación deben estar listos. Operar la solución implica monitorear tanto métricas técnicas como métricas de adopción, y reaccionar a ambas con el mismo nivel de rigor.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
              <w:left w:val="single" w:color="1F3A5F" w:sz="18"/>
              <w:bottom w:val="single" w:color="1F3A5F" w:sz="1"/>
              <w:right w:val="single" w:color="1F3A5F" w:sz="1"/>
            </w:tcBorders>
            <w:shd w:fill="F7F9FB" w:val="clear"/>
            <w:tcMar>
              <w:top w:type="dxa" w:w="160"/>
              <w:left w:type="dxa" w:w="200"/>
              <w:bottom w:type="dxa" w:w="160"/>
              <w:right w:type="dxa" w:w="200"/>
            </w:tcMar>
          </w:tcPr>
          <w:p>
            <w:pPr>
              <w:spacing w:after="80" w:before="0"/>
            </w:pPr>
            <w:r>
              <w:rPr>
                <w:rFonts w:ascii="Arial" w:cs="Arial" w:eastAsia="Arial" w:hAnsi="Arial"/>
                <w:b/>
                <w:bCs/>
                <w:color w:val="1F3A5F"/>
                <w:sz w:val="22"/>
                <w:szCs w:val="22"/>
              </w:rPr>
              <w:t xml:space="preserve">Principio rector</w:t>
            </w:r>
          </w:p>
          <w:p>
            <w:pPr>
              <w:spacing w:after="0" w:before="0" w:line="280"/>
            </w:pPr>
            <w:r>
              <w:rPr>
                <w:rFonts w:ascii="Arial" w:cs="Arial" w:eastAsia="Arial" w:hAnsi="Arial"/>
                <w:color w:val="2D2D2D"/>
                <w:sz w:val="22"/>
                <w:szCs w:val="22"/>
              </w:rPr>
              <w:t xml:space="preserve">Una solución de IA en producción que no está siendo usada por las personas para las que se construyó es un fracaso, sin importar qué tan buenas sean sus métricas técnicas. La adopción no es una fase posterior; es un carril paralelo que comienza el día 1.</w:t>
            </w:r>
          </w:p>
        </w:tc>
      </w:tr>
    </w:tbl>
    <w:p>
      <w:r>
        <w:br w:type="page"/>
      </w:r>
    </w:p>
    <w:p>
      <w:pPr>
        <w:pStyle w:val="Heading1"/>
        <w:spacing w:after="240" w:before="240"/>
      </w:pPr>
      <w:r>
        <w:rPr>
          <w:rFonts w:ascii="Arial" w:cs="Arial" w:eastAsia="Arial" w:hAnsi="Arial"/>
          <w:b/>
          <w:bCs/>
          <w:color w:val="1F3A5F"/>
          <w:sz w:val="36"/>
          <w:szCs w:val="36"/>
        </w:rPr>
        <w:t xml:space="preserve">Tabla de 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spacing w:after="0" w:before="2400"/>
      </w:pPr>
      <w:r>
        <w:rPr>
          <w:rFonts w:ascii="Arial" w:cs="Arial" w:eastAsia="Arial" w:hAnsi="Arial"/>
        </w:rPr>
        <w:t xml:space="preserve"/>
      </w:r>
    </w:p>
    <w:p>
      <w:pPr>
        <w:spacing w:after="240" w:before="0"/>
        <w:jc w:val="left"/>
      </w:pPr>
      <w:r>
        <w:rPr>
          <w:rFonts w:ascii="Arial" w:cs="Arial" w:eastAsia="Arial" w:hAnsi="Arial"/>
          <w:b/>
          <w:bCs/>
          <w:color w:val="2E75B6"/>
          <w:spacing w:val="80"/>
          <w:sz w:val="22"/>
          <w:szCs w:val="22"/>
        </w:rPr>
        <w:t xml:space="preserve">PARTE A</w:t>
      </w:r>
    </w:p>
    <w:p>
      <w:pPr>
        <w:spacing w:after="120" w:before="0"/>
        <w:jc w:val="left"/>
      </w:pPr>
      <w:r>
        <w:rPr>
          <w:rFonts w:ascii="Arial" w:cs="Arial" w:eastAsia="Arial" w:hAnsi="Arial"/>
          <w:b/>
          <w:bCs/>
          <w:color w:val="6B7280"/>
          <w:sz w:val="28"/>
          <w:szCs w:val="28"/>
        </w:rPr>
        <w:t xml:space="preserve">Módulo 6A</w:t>
      </w:r>
    </w:p>
    <w:p>
      <w:pPr>
        <w:spacing w:after="120" w:before="0"/>
        <w:jc w:val="left"/>
      </w:pPr>
      <w:r>
        <w:rPr>
          <w:rFonts w:ascii="Arial" w:cs="Arial" w:eastAsia="Arial" w:hAnsi="Arial"/>
          <w:b/>
          <w:bCs/>
          <w:color w:val="1F3A5F"/>
          <w:sz w:val="60"/>
          <w:szCs w:val="60"/>
        </w:rPr>
        <w:t xml:space="preserve">Implementación técnica</w:t>
      </w:r>
    </w:p>
    <w:p>
      <w:pPr>
        <w:spacing w:after="360" w:before="0"/>
        <w:jc w:val="left"/>
      </w:pPr>
      <w:r>
        <w:rPr>
          <w:rFonts w:ascii="Arial" w:cs="Arial" w:eastAsia="Arial" w:hAnsi="Arial"/>
          <w:i/>
          <w:iCs/>
          <w:color w:val="2D2D2D"/>
          <w:sz w:val="28"/>
          <w:szCs w:val="28"/>
        </w:rPr>
        <w:t xml:space="preserve">Del marco de decisión al ambiente productivo</w:t>
      </w:r>
    </w:p>
    <w:p>
      <w:pPr>
        <w:pBdr>
          <w:bottom w:val="single" w:color="1F3A5F" w:sz="8" w:space="1"/>
        </w:pBdr>
        <w:spacing w:after="0" w:before="120"/>
      </w:pPr>
      <w:r>
        <w:rPr>
          <w:rFonts w:ascii="Arial" w:cs="Arial" w:eastAsia="Arial" w:hAnsi="Arial"/>
        </w:rPr>
        <w:t xml:space="preserve"> </w:t>
      </w:r>
    </w:p>
    <w:p>
      <w:pPr>
        <w:pStyle w:val="Heading1"/>
        <w:pageBreakBefore/>
        <w:spacing w:after="240" w:before="480"/>
      </w:pPr>
      <w:r>
        <w:rPr>
          <w:rFonts w:ascii="Arial" w:cs="Arial" w:eastAsia="Arial" w:hAnsi="Arial"/>
          <w:b/>
          <w:bCs/>
          <w:color w:val="1F3A5F"/>
          <w:sz w:val="36"/>
          <w:szCs w:val="36"/>
        </w:rPr>
        <w:t xml:space="preserve">A.1  Introducción y propósito</w:t>
      </w:r>
    </w:p>
    <w:p>
      <w:pPr>
        <w:spacing w:after="180" w:before="120" w:line="320"/>
      </w:pPr>
      <w:r>
        <w:rPr>
          <w:rFonts w:ascii="Arial" w:cs="Arial" w:eastAsia="Arial" w:hAnsi="Arial"/>
          <w:color w:val="2D2D2D"/>
          <w:sz w:val="24"/>
          <w:szCs w:val="24"/>
        </w:rPr>
        <w:t xml:space="preserve">La Parte A entrega el método para llevar una decisión de IA, ya tomada con el Módulo 4, hasta el ambiente productivo. No es un manual técnico; es un marco ejecutivo que ordena las fases, los gates de calidad, los riesgos típicos y los controles necesarios para que la solución entre en producción y se mantenga ahí.</w:t>
      </w:r>
    </w:p>
    <w:p>
      <w:pPr>
        <w:pStyle w:val="Heading2"/>
        <w:spacing w:after="160" w:before="320"/>
      </w:pPr>
      <w:r>
        <w:rPr>
          <w:rFonts w:ascii="Arial" w:cs="Arial" w:eastAsia="Arial" w:hAnsi="Arial"/>
          <w:b/>
          <w:bCs/>
          <w:color w:val="1F3A5F"/>
          <w:sz w:val="28"/>
          <w:szCs w:val="28"/>
        </w:rPr>
        <w:t xml:space="preserve">A.1.1  Qué resuelve este módulo</w:t>
      </w:r>
    </w:p>
    <w:p>
      <w:pPr>
        <w:spacing w:after="120" w:before="60" w:line="300"/>
      </w:pPr>
      <w:r>
        <w:rPr>
          <w:rFonts w:ascii="Arial" w:cs="Arial" w:eastAsia="Arial" w:hAnsi="Arial"/>
          <w:color w:val="2D2D2D"/>
          <w:sz w:val="22"/>
          <w:szCs w:val="22"/>
        </w:rPr>
        <w:t xml:space="preserve">Resuelve la transición entre la decisión y la operación. Asume que ya se eligió la familia de IA (Módulo 4) y la receta funcional aplicable (Módulo 5) y se enfoca en cómo construir, validar, desplegar y operar la solución sin sorpresas. El énfasis es ejecutivo: principios, fases, decisiones de paso, métricas y riesgos. Los detalles técnicos de implementación (frameworks, herramientas específicas, código) viven fuera del alcance del documento.</w:t>
      </w:r>
    </w:p>
    <w:p>
      <w:pPr>
        <w:pStyle w:val="Heading2"/>
        <w:spacing w:after="160" w:before="320"/>
      </w:pPr>
      <w:r>
        <w:rPr>
          <w:rFonts w:ascii="Arial" w:cs="Arial" w:eastAsia="Arial" w:hAnsi="Arial"/>
          <w:b/>
          <w:bCs/>
          <w:color w:val="1F3A5F"/>
          <w:sz w:val="28"/>
          <w:szCs w:val="28"/>
        </w:rPr>
        <w:t xml:space="preserve">A.1.2  Cómo se conecta con la Parte B</w:t>
      </w:r>
    </w:p>
    <w:p>
      <w:pPr>
        <w:spacing w:after="120" w:before="60" w:line="300"/>
      </w:pPr>
      <w:r>
        <w:rPr>
          <w:rFonts w:ascii="Arial" w:cs="Arial" w:eastAsia="Arial" w:hAnsi="Arial"/>
          <w:color w:val="2D2D2D"/>
          <w:sz w:val="22"/>
          <w:szCs w:val="22"/>
        </w:rPr>
        <w:t xml:space="preserve">La Parte A y la Parte B operan en paralelo, no en secuencia. Cada fase del ciclo de vida técnico activa actividades de adopción correspondientes. El descubrimiento técnico va junto con el stakeholder mapping; el piloto técnico va junto con la primera ola de capacitación; la operación va junto con el monitoreo de adopción. Cualquier intento de "primero terminamos lo técnico y luego pensamos el cambio" produce sistemas que nadie usa.</w:t>
      </w:r>
    </w:p>
    <w:p>
      <w:pPr>
        <w:pStyle w:val="Heading2"/>
        <w:spacing w:after="160" w:before="320"/>
      </w:pPr>
      <w:r>
        <w:rPr>
          <w:rFonts w:ascii="Arial" w:cs="Arial" w:eastAsia="Arial" w:hAnsi="Arial"/>
          <w:b/>
          <w:bCs/>
          <w:color w:val="1F3A5F"/>
          <w:sz w:val="28"/>
          <w:szCs w:val="28"/>
        </w:rPr>
        <w:t xml:space="preserve">A.1.3  Qué cubre y qué no cubre</w:t>
      </w:r>
    </w:p>
    <w:p>
      <w:pPr>
        <w:pStyle w:val="Heading3"/>
        <w:spacing w:after="100" w:before="200"/>
      </w:pPr>
      <w:r>
        <w:rPr>
          <w:rFonts w:ascii="Arial" w:cs="Arial" w:eastAsia="Arial" w:hAnsi="Arial"/>
          <w:b/>
          <w:bCs/>
          <w:color w:val="2E75B6"/>
          <w:sz w:val="24"/>
          <w:szCs w:val="24"/>
        </w:rPr>
        <w:t xml:space="preserve">Cubre</w:t>
      </w:r>
    </w:p>
    <w:p>
      <w:pPr>
        <w:pStyle w:val="ListParagraph"/>
        <w:numPr>
          <w:ilvl w:val="0"/>
          <w:numId w:val="2"/>
        </w:numPr>
        <w:spacing w:after="80" w:before="40" w:line="280"/>
      </w:pPr>
      <w:r>
        <w:rPr>
          <w:rFonts w:ascii="Arial" w:cs="Arial" w:eastAsia="Arial" w:hAnsi="Arial"/>
          <w:color w:val="2D2D2D"/>
          <w:sz w:val="22"/>
          <w:szCs w:val="22"/>
        </w:rPr>
        <w:t xml:space="preserve">Ciclo de vida en cinco fases con entregables y gates.</w:t>
      </w:r>
    </w:p>
    <w:p>
      <w:pPr>
        <w:pStyle w:val="ListParagraph"/>
        <w:numPr>
          <w:ilvl w:val="0"/>
          <w:numId w:val="2"/>
        </w:numPr>
        <w:spacing w:after="80" w:before="40" w:line="280"/>
      </w:pPr>
      <w:r>
        <w:rPr>
          <w:rFonts w:ascii="Arial" w:cs="Arial" w:eastAsia="Arial" w:hAnsi="Arial"/>
          <w:color w:val="2D2D2D"/>
          <w:sz w:val="22"/>
          <w:szCs w:val="22"/>
        </w:rPr>
        <w:t xml:space="preserve">Marco general de riesgos técnicos específicos de IA.</w:t>
      </w:r>
    </w:p>
    <w:p>
      <w:pPr>
        <w:pStyle w:val="ListParagraph"/>
        <w:numPr>
          <w:ilvl w:val="0"/>
          <w:numId w:val="2"/>
        </w:numPr>
        <w:spacing w:after="80" w:before="40" w:line="280"/>
      </w:pPr>
      <w:r>
        <w:rPr>
          <w:rFonts w:ascii="Arial" w:cs="Arial" w:eastAsia="Arial" w:hAnsi="Arial"/>
          <w:color w:val="2D2D2D"/>
          <w:sz w:val="22"/>
          <w:szCs w:val="22"/>
        </w:rPr>
        <w:t xml:space="preserve">Métricas operativas, RACI técnico y gobernanza de modelos en producción.</w:t>
      </w:r>
    </w:p>
    <w:p>
      <w:pPr>
        <w:pStyle w:val="Heading3"/>
        <w:spacing w:after="100" w:before="200"/>
      </w:pPr>
      <w:r>
        <w:rPr>
          <w:rFonts w:ascii="Arial" w:cs="Arial" w:eastAsia="Arial" w:hAnsi="Arial"/>
          <w:b/>
          <w:bCs/>
          <w:color w:val="2E75B6"/>
          <w:sz w:val="24"/>
          <w:szCs w:val="24"/>
        </w:rPr>
        <w:t xml:space="preserve">No cubre</w:t>
      </w:r>
    </w:p>
    <w:p>
      <w:pPr>
        <w:pStyle w:val="ListParagraph"/>
        <w:numPr>
          <w:ilvl w:val="0"/>
          <w:numId w:val="2"/>
        </w:numPr>
        <w:spacing w:after="80" w:before="40" w:line="280"/>
      </w:pPr>
      <w:r>
        <w:rPr>
          <w:rFonts w:ascii="Arial" w:cs="Arial" w:eastAsia="Arial" w:hAnsi="Arial"/>
          <w:color w:val="2D2D2D"/>
          <w:sz w:val="22"/>
          <w:szCs w:val="22"/>
        </w:rPr>
        <w:t xml:space="preserve">Detalle de herramientas, vendors o arquitecturas específicas.</w:t>
      </w:r>
    </w:p>
    <w:p>
      <w:pPr>
        <w:pStyle w:val="ListParagraph"/>
        <w:numPr>
          <w:ilvl w:val="0"/>
          <w:numId w:val="2"/>
        </w:numPr>
        <w:spacing w:after="80" w:before="40" w:line="280"/>
      </w:pPr>
      <w:r>
        <w:rPr>
          <w:rFonts w:ascii="Arial" w:cs="Arial" w:eastAsia="Arial" w:hAnsi="Arial"/>
          <w:color w:val="2D2D2D"/>
          <w:sz w:val="22"/>
          <w:szCs w:val="22"/>
        </w:rPr>
        <w:t xml:space="preserve">Procedimientos detallados de MLOps/LLMOps (referenciados al Módulo 7 para profundización).</w:t>
      </w:r>
    </w:p>
    <w:p>
      <w:pPr>
        <w:pStyle w:val="ListParagraph"/>
        <w:numPr>
          <w:ilvl w:val="0"/>
          <w:numId w:val="2"/>
        </w:numPr>
        <w:spacing w:after="80" w:before="40" w:line="280"/>
      </w:pPr>
      <w:r>
        <w:rPr>
          <w:rFonts w:ascii="Arial" w:cs="Arial" w:eastAsia="Arial" w:hAnsi="Arial"/>
          <w:color w:val="2D2D2D"/>
          <w:sz w:val="22"/>
          <w:szCs w:val="22"/>
        </w:rPr>
        <w:t xml:space="preserve">Gestión del cambio y adopción (Parte B de este mismo módulo).</w:t>
      </w:r>
    </w:p>
    <w:p>
      <w:pPr>
        <w:pStyle w:val="Heading1"/>
        <w:pageBreakBefore/>
        <w:spacing w:after="240" w:before="480"/>
      </w:pPr>
      <w:r>
        <w:rPr>
          <w:rFonts w:ascii="Arial" w:cs="Arial" w:eastAsia="Arial" w:hAnsi="Arial"/>
          <w:b/>
          <w:bCs/>
          <w:color w:val="1F3A5F"/>
          <w:sz w:val="36"/>
          <w:szCs w:val="36"/>
        </w:rPr>
        <w:t xml:space="preserve">A.2  Principios rectores</w:t>
      </w:r>
    </w:p>
    <w:p>
      <w:pPr>
        <w:spacing w:after="180" w:before="120" w:line="320"/>
      </w:pPr>
      <w:r>
        <w:rPr>
          <w:rFonts w:ascii="Arial" w:cs="Arial" w:eastAsia="Arial" w:hAnsi="Arial"/>
          <w:color w:val="2D2D2D"/>
          <w:sz w:val="24"/>
          <w:szCs w:val="24"/>
        </w:rPr>
        <w:t xml:space="preserve">Estos seis principios anteceden cualquier decisión técnica. Cuando una recomendación operativa entra en conflicto con un principio, el principio prevalece.</w:t>
      </w:r>
    </w:p>
    <w:p>
      <w:pPr>
        <w:pStyle w:val="Heading2"/>
        <w:spacing w:after="160" w:before="320"/>
      </w:pPr>
      <w:r>
        <w:rPr>
          <w:rFonts w:ascii="Arial" w:cs="Arial" w:eastAsia="Arial" w:hAnsi="Arial"/>
          <w:b/>
          <w:bCs/>
          <w:color w:val="1F3A5F"/>
          <w:sz w:val="28"/>
          <w:szCs w:val="28"/>
        </w:rPr>
        <w:t xml:space="preserve">A.2.1  Reversibilidad antes que velocidad</w:t>
      </w:r>
    </w:p>
    <w:p>
      <w:pPr>
        <w:spacing w:after="120" w:before="60" w:line="300"/>
      </w:pPr>
      <w:r>
        <w:rPr>
          <w:rFonts w:ascii="Arial" w:cs="Arial" w:eastAsia="Arial" w:hAnsi="Arial"/>
          <w:color w:val="2D2D2D"/>
          <w:sz w:val="22"/>
          <w:szCs w:val="22"/>
        </w:rPr>
        <w:t xml:space="preserve">Toda decisión técnica debe poder revertirse. Despliegues por feature flags, rollback a una versión estable en minutos, dual-running con la solución manual durante la transición. La velocidad se gana en pasos cortos y reversibles, no en saltos grandes y permanentes.</w:t>
      </w:r>
    </w:p>
    <w:p>
      <w:pPr>
        <w:pStyle w:val="Heading2"/>
        <w:spacing w:after="160" w:before="320"/>
      </w:pPr>
      <w:r>
        <w:rPr>
          <w:rFonts w:ascii="Arial" w:cs="Arial" w:eastAsia="Arial" w:hAnsi="Arial"/>
          <w:b/>
          <w:bCs/>
          <w:color w:val="1F3A5F"/>
          <w:sz w:val="28"/>
          <w:szCs w:val="28"/>
        </w:rPr>
        <w:t xml:space="preserve">A.2.2  Datos antes que modelos</w:t>
      </w:r>
    </w:p>
    <w:p>
      <w:pPr>
        <w:spacing w:after="120" w:before="60" w:line="300"/>
      </w:pPr>
      <w:r>
        <w:rPr>
          <w:rFonts w:ascii="Arial" w:cs="Arial" w:eastAsia="Arial" w:hAnsi="Arial"/>
          <w:color w:val="2D2D2D"/>
          <w:sz w:val="22"/>
          <w:szCs w:val="22"/>
        </w:rPr>
        <w:t xml:space="preserve">Sin pipeline de datos confiable y monitoreado, ningún modelo se sostiene. Antes de invertir en complejidad de modelo, garantizar que los datos llegan, son completos, son consistentes y están versionados. La regla práctica: 60% del esfuerzo en datos, 30% en modelo, 10% en interfaz, en el primer despliegue. Las proporciones se invierten solo cuando los datos están maduros.</w:t>
      </w:r>
    </w:p>
    <w:p>
      <w:pPr>
        <w:pStyle w:val="Heading2"/>
        <w:spacing w:after="160" w:before="320"/>
      </w:pPr>
      <w:r>
        <w:rPr>
          <w:rFonts w:ascii="Arial" w:cs="Arial" w:eastAsia="Arial" w:hAnsi="Arial"/>
          <w:b/>
          <w:bCs/>
          <w:color w:val="1F3A5F"/>
          <w:sz w:val="28"/>
          <w:szCs w:val="28"/>
        </w:rPr>
        <w:t xml:space="preserve">A.2.3  Observabilidad antes que producción</w:t>
      </w:r>
    </w:p>
    <w:p>
      <w:pPr>
        <w:spacing w:after="120" w:before="60" w:line="300"/>
      </w:pPr>
      <w:r>
        <w:rPr>
          <w:rFonts w:ascii="Arial" w:cs="Arial" w:eastAsia="Arial" w:hAnsi="Arial"/>
          <w:color w:val="2D2D2D"/>
          <w:sz w:val="22"/>
          <w:szCs w:val="22"/>
        </w:rPr>
        <w:t xml:space="preserve">Ningún modelo va a producción sin instrumentación. Métricas técnicas (latencia, throughput, tasa de error), métricas de modelo (precisión, calibración, deriva), métricas de uso (volumen, segmentación de consultas, fallback rate) y trazabilidad por decisión. Si no se puede observar, no se puede operar.</w:t>
      </w:r>
    </w:p>
    <w:p>
      <w:pPr>
        <w:pStyle w:val="Heading2"/>
        <w:spacing w:after="160" w:before="320"/>
      </w:pPr>
      <w:r>
        <w:rPr>
          <w:rFonts w:ascii="Arial" w:cs="Arial" w:eastAsia="Arial" w:hAnsi="Arial"/>
          <w:b/>
          <w:bCs/>
          <w:color w:val="1F3A5F"/>
          <w:sz w:val="28"/>
          <w:szCs w:val="28"/>
        </w:rPr>
        <w:t xml:space="preserve">A.2.4  Validación proporcional al blast radius</w:t>
      </w:r>
    </w:p>
    <w:p>
      <w:pPr>
        <w:spacing w:after="120" w:before="60" w:line="300"/>
      </w:pPr>
      <w:r>
        <w:rPr>
          <w:rFonts w:ascii="Arial" w:cs="Arial" w:eastAsia="Arial" w:hAnsi="Arial"/>
          <w:color w:val="2D2D2D"/>
          <w:sz w:val="22"/>
          <w:szCs w:val="22"/>
        </w:rPr>
        <w:t xml:space="preserve">Una solución que sugiere productos en e-commerce no requiere el mismo rigor que una que aprueba créditos. La inversión en validación, pruebas y aseguramiento se calibra al impacto del error, no al gusto del equipo técnico ni a la moda del momento.</w:t>
      </w:r>
    </w:p>
    <w:p>
      <w:pPr>
        <w:pStyle w:val="Heading2"/>
        <w:spacing w:after="160" w:before="320"/>
      </w:pPr>
      <w:r>
        <w:rPr>
          <w:rFonts w:ascii="Arial" w:cs="Arial" w:eastAsia="Arial" w:hAnsi="Arial"/>
          <w:b/>
          <w:bCs/>
          <w:color w:val="1F3A5F"/>
          <w:sz w:val="28"/>
          <w:szCs w:val="28"/>
        </w:rPr>
        <w:t xml:space="preserve">A.2.5  Human-in-the-loop por defecto</w:t>
      </w:r>
    </w:p>
    <w:p>
      <w:pPr>
        <w:spacing w:after="120" w:before="60" w:line="300"/>
      </w:pPr>
      <w:r>
        <w:rPr>
          <w:rFonts w:ascii="Arial" w:cs="Arial" w:eastAsia="Arial" w:hAnsi="Arial"/>
          <w:color w:val="2D2D2D"/>
          <w:sz w:val="22"/>
          <w:szCs w:val="22"/>
        </w:rPr>
        <w:t xml:space="preserve">Toda solución de IA arranca con supervisión humana, y solo escala a automatización plena cuando la evidencia operativa lo justifica. El supuesto inicial es que la persona aprueba o corrige; la automatización se libera cuando los datos demuestran que ya no es necesaria. El principio se invierte solo en casos demostrados de bajo riesgo y alto volumen.</w:t>
      </w:r>
    </w:p>
    <w:p>
      <w:pPr>
        <w:pStyle w:val="Heading2"/>
        <w:spacing w:after="160" w:before="320"/>
      </w:pPr>
      <w:r>
        <w:rPr>
          <w:rFonts w:ascii="Arial" w:cs="Arial" w:eastAsia="Arial" w:hAnsi="Arial"/>
          <w:b/>
          <w:bCs/>
          <w:color w:val="1F3A5F"/>
          <w:sz w:val="28"/>
          <w:szCs w:val="28"/>
        </w:rPr>
        <w:t xml:space="preserve">A.2.6  Costo bajo control desde el día 1</w:t>
      </w:r>
    </w:p>
    <w:p>
      <w:pPr>
        <w:spacing w:after="120" w:before="60" w:line="300"/>
      </w:pPr>
      <w:r>
        <w:rPr>
          <w:rFonts w:ascii="Arial" w:cs="Arial" w:eastAsia="Arial" w:hAnsi="Arial"/>
          <w:color w:val="2D2D2D"/>
          <w:sz w:val="22"/>
          <w:szCs w:val="22"/>
        </w:rPr>
        <w:t xml:space="preserve">Particularmente en GenAI, el costo variable puede explotar. Presupuestos por consulta, alarmas por consumo, cuotas por usuario y fallback a soluciones más baratas son controles obligatorios desde la primera versión, no optimizaciones tardías.</w:t>
      </w:r>
    </w:p>
    <w:p>
      <w:pPr>
        <w:pStyle w:val="Heading1"/>
        <w:pageBreakBefore/>
        <w:spacing w:after="240" w:before="480"/>
      </w:pPr>
      <w:r>
        <w:rPr>
          <w:rFonts w:ascii="Arial" w:cs="Arial" w:eastAsia="Arial" w:hAnsi="Arial"/>
          <w:b/>
          <w:bCs/>
          <w:color w:val="1F3A5F"/>
          <w:sz w:val="36"/>
          <w:szCs w:val="36"/>
        </w:rPr>
        <w:t xml:space="preserve">A.3  Ciclo de vida en cinco fases</w:t>
      </w:r>
    </w:p>
    <w:p>
      <w:pPr>
        <w:spacing w:after="180" w:before="120" w:line="320"/>
      </w:pPr>
      <w:r>
        <w:rPr>
          <w:rFonts w:ascii="Arial" w:cs="Arial" w:eastAsia="Arial" w:hAnsi="Arial"/>
          <w:color w:val="2D2D2D"/>
          <w:sz w:val="24"/>
          <w:szCs w:val="24"/>
        </w:rPr>
        <w:t xml:space="preserve">Las cinco fases son secuenciales pero no estancas: el aprendizaje en una fase debe poder devolver el proyecto a la fase anterior si descubre algo que invalida supuestos. Cada fase tiene un objetivo, entregables clave, decisión de paso y criterios de aborto.</w:t>
      </w:r>
    </w:p>
    <w:p>
      <w:pPr>
        <w:pStyle w:val="Heading2"/>
        <w:spacing w:after="160" w:before="320"/>
      </w:pPr>
      <w:r>
        <w:rPr>
          <w:rFonts w:ascii="Arial" w:cs="Arial" w:eastAsia="Arial" w:hAnsi="Arial"/>
          <w:b/>
          <w:bCs/>
          <w:color w:val="1F3A5F"/>
          <w:sz w:val="28"/>
          <w:szCs w:val="28"/>
        </w:rPr>
        <w:t xml:space="preserve">A.3.1  Vista resumen del ciclo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0"/>
        <w:gridCol w:w="1620"/>
        <w:gridCol w:w="2040"/>
        <w:gridCol w:w="2040"/>
        <w:gridCol w:w="2040"/>
      </w:tblGrid>
      <w:tr>
        <w:trPr>
          <w:tblHeader/>
        </w:trPr>
        <w:tc>
          <w:tcPr>
            <w:tcW w:type="dxa" w:w="162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Fase</w:t>
            </w:r>
          </w:p>
        </w:tc>
        <w:tc>
          <w:tcPr>
            <w:tcW w:type="dxa" w:w="162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Duración típica</w:t>
            </w:r>
          </w:p>
        </w:tc>
        <w:tc>
          <w:tcPr>
            <w:tcW w:type="dxa" w:w="204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Objetivo</w:t>
            </w:r>
          </w:p>
        </w:tc>
        <w:tc>
          <w:tcPr>
            <w:tcW w:type="dxa" w:w="204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Decisión de paso</w:t>
            </w:r>
          </w:p>
        </w:tc>
        <w:tc>
          <w:tcPr>
            <w:tcW w:type="dxa" w:w="204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Criterio de aborto</w:t>
            </w:r>
          </w:p>
        </w:tc>
      </w:tr>
      <w:tr>
        <w:trPr>
          <w:tblHeader w:val="false"/>
        </w:trPr>
        <w:tc>
          <w:tcPr>
            <w:tcW w:type="dxa" w:w="16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1. Descubrimiento</w:t>
            </w:r>
          </w:p>
        </w:tc>
        <w:tc>
          <w:tcPr>
            <w:tcW w:type="dxa" w:w="16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center"/>
            </w:pPr>
            <w:r>
              <w:rPr>
                <w:rFonts w:ascii="Arial" w:cs="Arial" w:eastAsia="Arial" w:hAnsi="Arial"/>
                <w:color w:val="2D2D2D"/>
                <w:sz w:val="20"/>
                <w:szCs w:val="20"/>
              </w:rPr>
              <w:t xml:space="preserve">2-4 semanas</w:t>
            </w:r>
          </w:p>
        </w:tc>
        <w:tc>
          <w:tcPr>
            <w:tcW w:type="dxa" w:w="2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Validar el problema, los datos y la hipótesis de solución</w:t>
            </w:r>
          </w:p>
        </w:tc>
        <w:tc>
          <w:tcPr>
            <w:tcW w:type="dxa" w:w="2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Hipótesis de valor con evidencia documental</w:t>
            </w:r>
          </w:p>
        </w:tc>
        <w:tc>
          <w:tcPr>
            <w:tcW w:type="dxa" w:w="2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Datos no existen o problema mal definido</w:t>
            </w:r>
          </w:p>
        </w:tc>
      </w:tr>
      <w:tr>
        <w:trPr>
          <w:tblHeader w:val="false"/>
        </w:trPr>
        <w:tc>
          <w:tcPr>
            <w:tcW w:type="dxa" w:w="16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2. Prueba de concepto</w:t>
            </w:r>
          </w:p>
        </w:tc>
        <w:tc>
          <w:tcPr>
            <w:tcW w:type="dxa" w:w="16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center"/>
            </w:pPr>
            <w:r>
              <w:rPr>
                <w:rFonts w:ascii="Arial" w:cs="Arial" w:eastAsia="Arial" w:hAnsi="Arial"/>
                <w:color w:val="2D2D2D"/>
                <w:sz w:val="20"/>
                <w:szCs w:val="20"/>
              </w:rPr>
              <w:t xml:space="preserve">4-8 semanas</w:t>
            </w:r>
          </w:p>
        </w:tc>
        <w:tc>
          <w:tcPr>
            <w:tcW w:type="dxa" w:w="20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Demostrar viabilidad técnica con datos reales en ambiente controlado</w:t>
            </w:r>
          </w:p>
        </w:tc>
        <w:tc>
          <w:tcPr>
            <w:tcW w:type="dxa" w:w="20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Modelo cumple métricas mínimas en muestra representativa</w:t>
            </w:r>
          </w:p>
        </w:tc>
        <w:tc>
          <w:tcPr>
            <w:tcW w:type="dxa" w:w="20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El enfoque técnico no alcanza umbral de desempeño</w:t>
            </w:r>
          </w:p>
        </w:tc>
      </w:tr>
      <w:tr>
        <w:trPr>
          <w:tblHeader w:val="false"/>
        </w:trPr>
        <w:tc>
          <w:tcPr>
            <w:tcW w:type="dxa" w:w="16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3. Piloto</w:t>
            </w:r>
          </w:p>
        </w:tc>
        <w:tc>
          <w:tcPr>
            <w:tcW w:type="dxa" w:w="16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center"/>
            </w:pPr>
            <w:r>
              <w:rPr>
                <w:rFonts w:ascii="Arial" w:cs="Arial" w:eastAsia="Arial" w:hAnsi="Arial"/>
                <w:color w:val="2D2D2D"/>
                <w:sz w:val="20"/>
                <w:szCs w:val="20"/>
              </w:rPr>
              <w:t xml:space="preserve">2-4 meses</w:t>
            </w:r>
          </w:p>
        </w:tc>
        <w:tc>
          <w:tcPr>
            <w:tcW w:type="dxa" w:w="2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Operar con usuarios reales, alcance acotado y supervisión humana</w:t>
            </w:r>
          </w:p>
        </w:tc>
        <w:tc>
          <w:tcPr>
            <w:tcW w:type="dxa" w:w="2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Adopción + métricas operativas en verde sostenido</w:t>
            </w:r>
          </w:p>
        </w:tc>
        <w:tc>
          <w:tcPr>
            <w:tcW w:type="dxa" w:w="2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Adopción baja o riesgo emergente no mitigable</w:t>
            </w:r>
          </w:p>
        </w:tc>
      </w:tr>
      <w:tr>
        <w:trPr>
          <w:tblHeader w:val="false"/>
        </w:trPr>
        <w:tc>
          <w:tcPr>
            <w:tcW w:type="dxa" w:w="16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4. Escalamiento</w:t>
            </w:r>
          </w:p>
        </w:tc>
        <w:tc>
          <w:tcPr>
            <w:tcW w:type="dxa" w:w="16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center"/>
            </w:pPr>
            <w:r>
              <w:rPr>
                <w:rFonts w:ascii="Arial" w:cs="Arial" w:eastAsia="Arial" w:hAnsi="Arial"/>
                <w:color w:val="2D2D2D"/>
                <w:sz w:val="20"/>
                <w:szCs w:val="20"/>
              </w:rPr>
              <w:t xml:space="preserve">2-6 meses</w:t>
            </w:r>
          </w:p>
        </w:tc>
        <w:tc>
          <w:tcPr>
            <w:tcW w:type="dxa" w:w="20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Expandir a la población objetivo completa con disciplina operativa</w:t>
            </w:r>
          </w:p>
        </w:tc>
        <w:tc>
          <w:tcPr>
            <w:tcW w:type="dxa" w:w="20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Cobertura plena con SLA, control y observabilidad</w:t>
            </w:r>
          </w:p>
        </w:tc>
        <w:tc>
          <w:tcPr>
            <w:tcW w:type="dxa" w:w="20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Costo o complejidad operativa exceden el caso de negocio</w:t>
            </w:r>
          </w:p>
        </w:tc>
      </w:tr>
      <w:tr>
        <w:trPr>
          <w:tblHeader w:val="false"/>
        </w:trPr>
        <w:tc>
          <w:tcPr>
            <w:tcW w:type="dxa" w:w="16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5. Operación</w:t>
            </w:r>
          </w:p>
        </w:tc>
        <w:tc>
          <w:tcPr>
            <w:tcW w:type="dxa" w:w="16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center"/>
            </w:pPr>
            <w:r>
              <w:rPr>
                <w:rFonts w:ascii="Arial" w:cs="Arial" w:eastAsia="Arial" w:hAnsi="Arial"/>
                <w:color w:val="2D2D2D"/>
                <w:sz w:val="20"/>
                <w:szCs w:val="20"/>
              </w:rPr>
              <w:t xml:space="preserve">Permanente</w:t>
            </w:r>
          </w:p>
        </w:tc>
        <w:tc>
          <w:tcPr>
            <w:tcW w:type="dxa" w:w="2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Sostener, mejorar y gobernar la solución en producción</w:t>
            </w:r>
          </w:p>
        </w:tc>
        <w:tc>
          <w:tcPr>
            <w:tcW w:type="dxa" w:w="2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Ciclo continuo de mejora y monitoreo</w:t>
            </w:r>
          </w:p>
        </w:tc>
        <w:tc>
          <w:tcPr>
            <w:tcW w:type="dxa" w:w="2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El caso de negocio deja de justificar la operación</w:t>
            </w:r>
          </w:p>
        </w:tc>
      </w:tr>
    </w:tbl>
    <w:p>
      <w:pPr>
        <w:spacing w:after="0" w:before="200"/>
      </w:pPr>
      <w:r>
        <w:rPr>
          <w:rFonts w:ascii="Arial" w:cs="Arial" w:eastAsia="Arial" w:hAnsi="Arial"/>
        </w:rPr>
        <w:t xml:space="preserve"/>
      </w:r>
    </w:p>
    <w:p>
      <w:pPr>
        <w:pStyle w:val="Heading2"/>
        <w:spacing w:after="160" w:before="320"/>
      </w:pPr>
      <w:r>
        <w:rPr>
          <w:rFonts w:ascii="Arial" w:cs="Arial" w:eastAsia="Arial" w:hAnsi="Arial"/>
          <w:b/>
          <w:bCs/>
          <w:color w:val="1F3A5F"/>
          <w:sz w:val="28"/>
          <w:szCs w:val="28"/>
        </w:rPr>
        <w:t xml:space="preserve">A.3.2  Fase 1 — Descubrimiento</w:t>
      </w:r>
    </w:p>
    <w:p>
      <w:pPr>
        <w:spacing w:after="120" w:before="60" w:line="300"/>
      </w:pPr>
      <w:r>
        <w:rPr>
          <w:rFonts w:ascii="Arial" w:cs="Arial" w:eastAsia="Arial" w:hAnsi="Arial"/>
          <w:color w:val="2D2D2D"/>
          <w:sz w:val="22"/>
          <w:szCs w:val="22"/>
        </w:rPr>
        <w:t xml:space="preserve">El descubrimiento valida que el problema es real, los datos existen y la hipótesis de solución tiene sentido antes de invertir en construir. Se ejecuta con un equipo pequeño, con presencia obligatoria de un experto del proceso, un perfil de datos y un patrocinador del negocio. El error más común es saltar esta fase porque "ya sabemos lo que queremos"; cuando se salta, casi siempre se descubre tarde que faltaba algo crítico.</w:t>
      </w:r>
    </w:p>
    <w:p>
      <w:pPr>
        <w:pStyle w:val="Heading3"/>
        <w:spacing w:after="100" w:before="200"/>
      </w:pPr>
      <w:r>
        <w:rPr>
          <w:rFonts w:ascii="Arial" w:cs="Arial" w:eastAsia="Arial" w:hAnsi="Arial"/>
          <w:b/>
          <w:bCs/>
          <w:color w:val="2E75B6"/>
          <w:sz w:val="24"/>
          <w:szCs w:val="24"/>
        </w:rPr>
        <w:t xml:space="preserve">Entregables clave</w:t>
      </w:r>
    </w:p>
    <w:p>
      <w:pPr>
        <w:pStyle w:val="ListParagraph"/>
        <w:numPr>
          <w:ilvl w:val="0"/>
          <w:numId w:val="2"/>
        </w:numPr>
        <w:spacing w:after="80" w:before="40" w:line="280"/>
      </w:pPr>
      <w:r>
        <w:rPr>
          <w:rFonts w:ascii="Arial" w:cs="Arial" w:eastAsia="Arial" w:hAnsi="Arial"/>
          <w:color w:val="2D2D2D"/>
          <w:sz w:val="22"/>
          <w:szCs w:val="22"/>
        </w:rPr>
        <w:t xml:space="preserve">Definición del problema en términos de negocio (una página, sin tecnología).</w:t>
      </w:r>
    </w:p>
    <w:p>
      <w:pPr>
        <w:pStyle w:val="ListParagraph"/>
        <w:numPr>
          <w:ilvl w:val="0"/>
          <w:numId w:val="2"/>
        </w:numPr>
        <w:spacing w:after="80" w:before="40" w:line="280"/>
      </w:pPr>
      <w:r>
        <w:rPr>
          <w:rFonts w:ascii="Arial" w:cs="Arial" w:eastAsia="Arial" w:hAnsi="Arial"/>
          <w:color w:val="2D2D2D"/>
          <w:sz w:val="22"/>
          <w:szCs w:val="22"/>
        </w:rPr>
        <w:t xml:space="preserve">Inventario de datos disponibles, calidad, accesibilidad y restricciones legales.</w:t>
      </w:r>
    </w:p>
    <w:p>
      <w:pPr>
        <w:pStyle w:val="ListParagraph"/>
        <w:numPr>
          <w:ilvl w:val="0"/>
          <w:numId w:val="2"/>
        </w:numPr>
        <w:spacing w:after="80" w:before="40" w:line="280"/>
      </w:pPr>
      <w:r>
        <w:rPr>
          <w:rFonts w:ascii="Arial" w:cs="Arial" w:eastAsia="Arial" w:hAnsi="Arial"/>
          <w:color w:val="2D2D2D"/>
          <w:sz w:val="22"/>
          <w:szCs w:val="22"/>
        </w:rPr>
        <w:t xml:space="preserve">Hipótesis de solución con familia de IA elegida (referenciada al Módulo 4).</w:t>
      </w:r>
    </w:p>
    <w:p>
      <w:pPr>
        <w:pStyle w:val="ListParagraph"/>
        <w:numPr>
          <w:ilvl w:val="0"/>
          <w:numId w:val="2"/>
        </w:numPr>
        <w:spacing w:after="80" w:before="40" w:line="280"/>
      </w:pPr>
      <w:r>
        <w:rPr>
          <w:rFonts w:ascii="Arial" w:cs="Arial" w:eastAsia="Arial" w:hAnsi="Arial"/>
          <w:color w:val="2D2D2D"/>
          <w:sz w:val="22"/>
          <w:szCs w:val="22"/>
        </w:rPr>
        <w:t xml:space="preserve">Prototipo de baja fidelidad con simulación de errores: maqueta navegable que muestra cómo se verá la solución incluyendo cómo se comunican respuestas correctas, respuestas inciertas, errores y los casos en los que el modelo "no sabe". Permite validar el diseño de la experiencia antes de invertir en construcción técnica (ver Parte B, sección B.6.4).</w:t>
      </w:r>
    </w:p>
    <w:p>
      <w:pPr>
        <w:pStyle w:val="ListParagraph"/>
        <w:numPr>
          <w:ilvl w:val="0"/>
          <w:numId w:val="2"/>
        </w:numPr>
        <w:spacing w:after="80" w:before="40" w:line="280"/>
      </w:pPr>
      <w:r>
        <w:rPr>
          <w:rFonts w:ascii="Arial" w:cs="Arial" w:eastAsia="Arial" w:hAnsi="Arial"/>
          <w:color w:val="2D2D2D"/>
          <w:sz w:val="22"/>
          <w:szCs w:val="22"/>
        </w:rPr>
        <w:t xml:space="preserve">Caso de negocio preliminar con ROI esperado y supuestos.</w:t>
      </w:r>
    </w:p>
    <w:p>
      <w:pPr>
        <w:pStyle w:val="ListParagraph"/>
        <w:numPr>
          <w:ilvl w:val="0"/>
          <w:numId w:val="2"/>
        </w:numPr>
        <w:spacing w:after="80" w:before="40" w:line="280"/>
      </w:pPr>
      <w:r>
        <w:rPr>
          <w:rFonts w:ascii="Arial" w:cs="Arial" w:eastAsia="Arial" w:hAnsi="Arial"/>
          <w:color w:val="2D2D2D"/>
          <w:sz w:val="22"/>
          <w:szCs w:val="22"/>
        </w:rPr>
        <w:t xml:space="preserve">Mapa de riesgos iniciales (técnicos, regulatorios, operativos).</w:t>
      </w:r>
    </w:p>
    <w:p>
      <w:pPr>
        <w:pStyle w:val="Heading2"/>
        <w:spacing w:after="160" w:before="320"/>
      </w:pPr>
      <w:r>
        <w:rPr>
          <w:rFonts w:ascii="Arial" w:cs="Arial" w:eastAsia="Arial" w:hAnsi="Arial"/>
          <w:b/>
          <w:bCs/>
          <w:color w:val="1F3A5F"/>
          <w:sz w:val="28"/>
          <w:szCs w:val="28"/>
        </w:rPr>
        <w:t xml:space="preserve">A.3.3  Fase 2 — Prueba de concepto (PoC)</w:t>
      </w:r>
    </w:p>
    <w:p>
      <w:pPr>
        <w:spacing w:after="120" w:before="60" w:line="300"/>
      </w:pPr>
      <w:r>
        <w:rPr>
          <w:rFonts w:ascii="Arial" w:cs="Arial" w:eastAsia="Arial" w:hAnsi="Arial"/>
          <w:color w:val="2D2D2D"/>
          <w:sz w:val="22"/>
          <w:szCs w:val="22"/>
        </w:rPr>
        <w:t xml:space="preserve">La PoC demuestra viabilidad técnica con datos reales y en condiciones cercanas a la realidad operativa, pero sin usuarios finales y en ambiente controlado. La pregunta a responder es "¿esto puede funcionar?", no "¿esto está listo para producción?". Una PoC que pretende demostrar más de lo necesario suele fracasar por exceso de alcance.</w:t>
      </w:r>
    </w:p>
    <w:p>
      <w:pPr>
        <w:pStyle w:val="Heading3"/>
        <w:spacing w:after="100" w:before="200"/>
      </w:pPr>
      <w:r>
        <w:rPr>
          <w:rFonts w:ascii="Arial" w:cs="Arial" w:eastAsia="Arial" w:hAnsi="Arial"/>
          <w:b/>
          <w:bCs/>
          <w:color w:val="2E75B6"/>
          <w:sz w:val="24"/>
          <w:szCs w:val="24"/>
        </w:rPr>
        <w:t xml:space="preserve">Entregables clave</w:t>
      </w:r>
    </w:p>
    <w:p>
      <w:pPr>
        <w:pStyle w:val="ListParagraph"/>
        <w:numPr>
          <w:ilvl w:val="0"/>
          <w:numId w:val="2"/>
        </w:numPr>
        <w:spacing w:after="80" w:before="40" w:line="280"/>
      </w:pPr>
      <w:r>
        <w:rPr>
          <w:rFonts w:ascii="Arial" w:cs="Arial" w:eastAsia="Arial" w:hAnsi="Arial"/>
          <w:color w:val="2D2D2D"/>
          <w:sz w:val="22"/>
          <w:szCs w:val="22"/>
        </w:rPr>
        <w:t xml:space="preserve">Modelo o solución prototipo evaluado contra muestra representativa de datos.</w:t>
      </w:r>
    </w:p>
    <w:p>
      <w:pPr>
        <w:pStyle w:val="ListParagraph"/>
        <w:numPr>
          <w:ilvl w:val="0"/>
          <w:numId w:val="2"/>
        </w:numPr>
        <w:spacing w:after="80" w:before="40" w:line="280"/>
      </w:pPr>
      <w:r>
        <w:rPr>
          <w:rFonts w:ascii="Arial" w:cs="Arial" w:eastAsia="Arial" w:hAnsi="Arial"/>
          <w:color w:val="2D2D2D"/>
          <w:sz w:val="22"/>
          <w:szCs w:val="22"/>
        </w:rPr>
        <w:t xml:space="preserve">Métricas de desempeño con intervalo de confianza y comparación contra línea base.</w:t>
      </w:r>
    </w:p>
    <w:p>
      <w:pPr>
        <w:pStyle w:val="ListParagraph"/>
        <w:numPr>
          <w:ilvl w:val="0"/>
          <w:numId w:val="2"/>
        </w:numPr>
        <w:spacing w:after="80" w:before="40" w:line="280"/>
      </w:pPr>
      <w:r>
        <w:rPr>
          <w:rFonts w:ascii="Arial" w:cs="Arial" w:eastAsia="Arial" w:hAnsi="Arial"/>
          <w:color w:val="2D2D2D"/>
          <w:sz w:val="22"/>
          <w:szCs w:val="22"/>
        </w:rPr>
        <w:t xml:space="preserve">Análisis de errores: qué casos fallan y por qué.</w:t>
      </w:r>
    </w:p>
    <w:p>
      <w:pPr>
        <w:pStyle w:val="ListParagraph"/>
        <w:numPr>
          <w:ilvl w:val="0"/>
          <w:numId w:val="2"/>
        </w:numPr>
        <w:spacing w:after="80" w:before="40" w:line="280"/>
      </w:pPr>
      <w:r>
        <w:rPr>
          <w:rFonts w:ascii="Arial" w:cs="Arial" w:eastAsia="Arial" w:hAnsi="Arial"/>
          <w:color w:val="2D2D2D"/>
          <w:sz w:val="22"/>
          <w:szCs w:val="22"/>
        </w:rPr>
        <w:t xml:space="preserve">Estimación refinada de costos, datos y talento para piloto.</w:t>
      </w:r>
    </w:p>
    <w:p>
      <w:pPr>
        <w:pStyle w:val="ListParagraph"/>
        <w:numPr>
          <w:ilvl w:val="0"/>
          <w:numId w:val="2"/>
        </w:numPr>
        <w:spacing w:after="80" w:before="40" w:line="280"/>
      </w:pPr>
      <w:r>
        <w:rPr>
          <w:rFonts w:ascii="Arial" w:cs="Arial" w:eastAsia="Arial" w:hAnsi="Arial"/>
          <w:color w:val="2D2D2D"/>
          <w:sz w:val="22"/>
          <w:szCs w:val="22"/>
        </w:rPr>
        <w:t xml:space="preserve">Decisión documentada: avanzar, pivotar o abortar.</w:t>
      </w:r>
    </w:p>
    <w:p>
      <w:pPr>
        <w:pStyle w:val="Heading2"/>
        <w:spacing w:after="160" w:before="320"/>
      </w:pPr>
      <w:r>
        <w:rPr>
          <w:rFonts w:ascii="Arial" w:cs="Arial" w:eastAsia="Arial" w:hAnsi="Arial"/>
          <w:b/>
          <w:bCs/>
          <w:color w:val="1F3A5F"/>
          <w:sz w:val="28"/>
          <w:szCs w:val="28"/>
        </w:rPr>
        <w:t xml:space="preserve">A.3.4  Fase 3 — Piloto</w:t>
      </w:r>
    </w:p>
    <w:p>
      <w:pPr>
        <w:spacing w:after="120" w:before="60" w:line="300"/>
      </w:pPr>
      <w:r>
        <w:rPr>
          <w:rFonts w:ascii="Arial" w:cs="Arial" w:eastAsia="Arial" w:hAnsi="Arial"/>
          <w:color w:val="2D2D2D"/>
          <w:sz w:val="22"/>
          <w:szCs w:val="22"/>
        </w:rPr>
        <w:t xml:space="preserve">El piloto opera con usuarios reales pero con alcance acotado: una geografía, un segmento, un equipo, un tipo de transacción. Toda decisión emitida por la solución pasa por revisión humana o por un mecanismo de override visible. El piloto produce, por primera vez, datos reales sobre adopción, errores no anticipados y comportamiento del sistema bajo condiciones operativas. Es la fase donde el proyecto se valida o se reinventa.</w:t>
      </w:r>
    </w:p>
    <w:p>
      <w:pPr>
        <w:pStyle w:val="Heading3"/>
        <w:spacing w:after="100" w:before="200"/>
      </w:pPr>
      <w:r>
        <w:rPr>
          <w:rFonts w:ascii="Arial" w:cs="Arial" w:eastAsia="Arial" w:hAnsi="Arial"/>
          <w:b/>
          <w:bCs/>
          <w:color w:val="2E75B6"/>
          <w:sz w:val="24"/>
          <w:szCs w:val="24"/>
        </w:rPr>
        <w:t xml:space="preserve">Entregables clave</w:t>
      </w:r>
    </w:p>
    <w:p>
      <w:pPr>
        <w:pStyle w:val="ListParagraph"/>
        <w:numPr>
          <w:ilvl w:val="0"/>
          <w:numId w:val="2"/>
        </w:numPr>
        <w:spacing w:after="80" w:before="40" w:line="280"/>
      </w:pPr>
      <w:r>
        <w:rPr>
          <w:rFonts w:ascii="Arial" w:cs="Arial" w:eastAsia="Arial" w:hAnsi="Arial"/>
          <w:color w:val="2D2D2D"/>
          <w:sz w:val="22"/>
          <w:szCs w:val="22"/>
        </w:rPr>
        <w:t xml:space="preserve">Sistema desplegado en ambiente productivo con feature flag controlado.</w:t>
      </w:r>
    </w:p>
    <w:p>
      <w:pPr>
        <w:pStyle w:val="ListParagraph"/>
        <w:numPr>
          <w:ilvl w:val="0"/>
          <w:numId w:val="2"/>
        </w:numPr>
        <w:spacing w:after="80" w:before="40" w:line="280"/>
      </w:pPr>
      <w:r>
        <w:rPr>
          <w:rFonts w:ascii="Arial" w:cs="Arial" w:eastAsia="Arial" w:hAnsi="Arial"/>
          <w:color w:val="2D2D2D"/>
          <w:sz w:val="22"/>
          <w:szCs w:val="22"/>
        </w:rPr>
        <w:t xml:space="preserve">Capacitación inicial al grupo piloto (coordinada con la Parte B).</w:t>
      </w:r>
    </w:p>
    <w:p>
      <w:pPr>
        <w:pStyle w:val="ListParagraph"/>
        <w:numPr>
          <w:ilvl w:val="0"/>
          <w:numId w:val="2"/>
        </w:numPr>
        <w:spacing w:after="80" w:before="40" w:line="280"/>
      </w:pPr>
      <w:r>
        <w:rPr>
          <w:rFonts w:ascii="Arial" w:cs="Arial" w:eastAsia="Arial" w:hAnsi="Arial"/>
          <w:color w:val="2D2D2D"/>
          <w:sz w:val="22"/>
          <w:szCs w:val="22"/>
        </w:rPr>
        <w:t xml:space="preserve">Tablero de monitoreo con métricas técnicas, de modelo y de adopción.</w:t>
      </w:r>
    </w:p>
    <w:p>
      <w:pPr>
        <w:pStyle w:val="ListParagraph"/>
        <w:numPr>
          <w:ilvl w:val="0"/>
          <w:numId w:val="2"/>
        </w:numPr>
        <w:spacing w:after="80" w:before="40" w:line="280"/>
      </w:pPr>
      <w:r>
        <w:rPr>
          <w:rFonts w:ascii="Arial" w:cs="Arial" w:eastAsia="Arial" w:hAnsi="Arial"/>
          <w:color w:val="2D2D2D"/>
          <w:sz w:val="22"/>
          <w:szCs w:val="22"/>
        </w:rPr>
        <w:t xml:space="preserve">Bitácora de incidentes y aprendizajes.</w:t>
      </w:r>
    </w:p>
    <w:p>
      <w:pPr>
        <w:pStyle w:val="ListParagraph"/>
        <w:numPr>
          <w:ilvl w:val="0"/>
          <w:numId w:val="2"/>
        </w:numPr>
        <w:spacing w:after="80" w:before="40" w:line="280"/>
      </w:pPr>
      <w:r>
        <w:rPr>
          <w:rFonts w:ascii="Arial" w:cs="Arial" w:eastAsia="Arial" w:hAnsi="Arial"/>
          <w:color w:val="2D2D2D"/>
          <w:sz w:val="22"/>
          <w:szCs w:val="22"/>
        </w:rPr>
        <w:t xml:space="preserve">Reporte de cierre con recomendación de paso a escalamiento.</w:t>
      </w:r>
    </w:p>
    <w:p>
      <w:pPr>
        <w:pStyle w:val="Heading2"/>
        <w:spacing w:after="160" w:before="320"/>
      </w:pPr>
      <w:r>
        <w:rPr>
          <w:rFonts w:ascii="Arial" w:cs="Arial" w:eastAsia="Arial" w:hAnsi="Arial"/>
          <w:b/>
          <w:bCs/>
          <w:color w:val="1F3A5F"/>
          <w:sz w:val="28"/>
          <w:szCs w:val="28"/>
        </w:rPr>
        <w:t xml:space="preserve">A.3.5  Fase 4 — Escalamiento</w:t>
      </w:r>
    </w:p>
    <w:p>
      <w:pPr>
        <w:spacing w:after="120" w:before="60" w:line="300"/>
      </w:pPr>
      <w:r>
        <w:rPr>
          <w:rFonts w:ascii="Arial" w:cs="Arial" w:eastAsia="Arial" w:hAnsi="Arial"/>
          <w:color w:val="2D2D2D"/>
          <w:sz w:val="22"/>
          <w:szCs w:val="22"/>
        </w:rPr>
        <w:t xml:space="preserve">El escalamiento extiende la solución a la población objetivo completa, manteniendo la disciplina operativa que se construyó en el piloto. Es la fase que más subestima la mayoría de proyectos: pasar de 50 usuarios a 5.000 no es una multiplicación lineal. Cambian los modos de uso, aparecen casos extremos, el costo escala, los procesos de soporte se sobrecargan. El éxito requiere planificación de capacidad, automatización de operación y un plan de adopción robusto.</w:t>
      </w:r>
    </w:p>
    <w:p>
      <w:pPr>
        <w:pStyle w:val="Heading3"/>
        <w:spacing w:after="100" w:before="200"/>
      </w:pPr>
      <w:r>
        <w:rPr>
          <w:rFonts w:ascii="Arial" w:cs="Arial" w:eastAsia="Arial" w:hAnsi="Arial"/>
          <w:b/>
          <w:bCs/>
          <w:color w:val="2E75B6"/>
          <w:sz w:val="24"/>
          <w:szCs w:val="24"/>
        </w:rPr>
        <w:t xml:space="preserve">Entregables clave</w:t>
      </w:r>
    </w:p>
    <w:p>
      <w:pPr>
        <w:pStyle w:val="ListParagraph"/>
        <w:numPr>
          <w:ilvl w:val="0"/>
          <w:numId w:val="2"/>
        </w:numPr>
        <w:spacing w:after="80" w:before="40" w:line="280"/>
      </w:pPr>
      <w:r>
        <w:rPr>
          <w:rFonts w:ascii="Arial" w:cs="Arial" w:eastAsia="Arial" w:hAnsi="Arial"/>
          <w:color w:val="2D2D2D"/>
          <w:sz w:val="22"/>
          <w:szCs w:val="22"/>
        </w:rPr>
        <w:t xml:space="preserve">Plan de despliegue por olas con criterios de paso entre olas.</w:t>
      </w:r>
    </w:p>
    <w:p>
      <w:pPr>
        <w:pStyle w:val="ListParagraph"/>
        <w:numPr>
          <w:ilvl w:val="0"/>
          <w:numId w:val="2"/>
        </w:numPr>
        <w:spacing w:after="80" w:before="40" w:line="280"/>
      </w:pPr>
      <w:r>
        <w:rPr>
          <w:rFonts w:ascii="Arial" w:cs="Arial" w:eastAsia="Arial" w:hAnsi="Arial"/>
          <w:color w:val="2D2D2D"/>
          <w:sz w:val="22"/>
          <w:szCs w:val="22"/>
        </w:rPr>
        <w:t xml:space="preserve">Arquitectura productiva con capacidad probada, redundancia y backup.</w:t>
      </w:r>
    </w:p>
    <w:p>
      <w:pPr>
        <w:pStyle w:val="ListParagraph"/>
        <w:numPr>
          <w:ilvl w:val="0"/>
          <w:numId w:val="2"/>
        </w:numPr>
        <w:spacing w:after="80" w:before="40" w:line="280"/>
      </w:pPr>
      <w:r>
        <w:rPr>
          <w:rFonts w:ascii="Arial" w:cs="Arial" w:eastAsia="Arial" w:hAnsi="Arial"/>
          <w:color w:val="2D2D2D"/>
          <w:sz w:val="22"/>
          <w:szCs w:val="22"/>
        </w:rPr>
        <w:t xml:space="preserve">Plan de soporte de segundo y tercer nivel con SLA definidos.</w:t>
      </w:r>
    </w:p>
    <w:p>
      <w:pPr>
        <w:pStyle w:val="ListParagraph"/>
        <w:numPr>
          <w:ilvl w:val="0"/>
          <w:numId w:val="2"/>
        </w:numPr>
        <w:spacing w:after="80" w:before="40" w:line="280"/>
      </w:pPr>
      <w:r>
        <w:rPr>
          <w:rFonts w:ascii="Arial" w:cs="Arial" w:eastAsia="Arial" w:hAnsi="Arial"/>
          <w:color w:val="2D2D2D"/>
          <w:sz w:val="22"/>
          <w:szCs w:val="22"/>
        </w:rPr>
        <w:t xml:space="preserve">Documentación operativa completa (runbooks de incidentes, retraining, rollback).</w:t>
      </w:r>
    </w:p>
    <w:p>
      <w:pPr>
        <w:pStyle w:val="ListParagraph"/>
        <w:numPr>
          <w:ilvl w:val="0"/>
          <w:numId w:val="2"/>
        </w:numPr>
        <w:spacing w:after="80" w:before="40" w:line="280"/>
      </w:pPr>
      <w:r>
        <w:rPr>
          <w:rFonts w:ascii="Arial" w:cs="Arial" w:eastAsia="Arial" w:hAnsi="Arial"/>
          <w:color w:val="2D2D2D"/>
          <w:sz w:val="22"/>
          <w:szCs w:val="22"/>
        </w:rPr>
        <w:t xml:space="preserve">Plan de adopción extendido (con la Parte B).</w:t>
      </w:r>
    </w:p>
    <w:p>
      <w:pPr>
        <w:pStyle w:val="Heading2"/>
        <w:spacing w:after="160" w:before="320"/>
      </w:pPr>
      <w:r>
        <w:rPr>
          <w:rFonts w:ascii="Arial" w:cs="Arial" w:eastAsia="Arial" w:hAnsi="Arial"/>
          <w:b/>
          <w:bCs/>
          <w:color w:val="1F3A5F"/>
          <w:sz w:val="28"/>
          <w:szCs w:val="28"/>
        </w:rPr>
        <w:t xml:space="preserve">A.3.6  Fase 5 — Operación</w:t>
      </w:r>
    </w:p>
    <w:p>
      <w:pPr>
        <w:spacing w:after="120" w:before="60" w:line="300"/>
      </w:pPr>
      <w:r>
        <w:rPr>
          <w:rFonts w:ascii="Arial" w:cs="Arial" w:eastAsia="Arial" w:hAnsi="Arial"/>
          <w:color w:val="2D2D2D"/>
          <w:sz w:val="22"/>
          <w:szCs w:val="22"/>
        </w:rPr>
        <w:t xml:space="preserve">La operación es la fase más larga y la peor gestionada. La mayoría de organizaciones celebran el escalamiento y dejan al sistema operando con menor atención que la que tuvo durante la construcción. Resultado: drift no detectado, deuda técnica creciente, pérdida de adopción y, eventualmente, un sistema que se desactiva en silencio. La operación requiere ritmo: monitoreo continuo, reentrenamiento programado, revisión periódica del caso de negocio, y un equipo identificable como dueño.</w:t>
      </w:r>
    </w:p>
    <w:p>
      <w:pPr>
        <w:pStyle w:val="Heading3"/>
        <w:spacing w:after="100" w:before="200"/>
      </w:pPr>
      <w:r>
        <w:rPr>
          <w:rFonts w:ascii="Arial" w:cs="Arial" w:eastAsia="Arial" w:hAnsi="Arial"/>
          <w:b/>
          <w:bCs/>
          <w:color w:val="2E75B6"/>
          <w:sz w:val="24"/>
          <w:szCs w:val="24"/>
        </w:rPr>
        <w:t xml:space="preserve">Entregables clave (recurrentes)</w:t>
      </w:r>
    </w:p>
    <w:p>
      <w:pPr>
        <w:pStyle w:val="ListParagraph"/>
        <w:numPr>
          <w:ilvl w:val="0"/>
          <w:numId w:val="2"/>
        </w:numPr>
        <w:spacing w:after="80" w:before="40" w:line="280"/>
      </w:pPr>
      <w:r>
        <w:rPr>
          <w:rFonts w:ascii="Arial" w:cs="Arial" w:eastAsia="Arial" w:hAnsi="Arial"/>
          <w:color w:val="2D2D2D"/>
          <w:sz w:val="22"/>
          <w:szCs w:val="22"/>
        </w:rPr>
        <w:t xml:space="preserve">Reporte mensual de salud del sistema (técnico + adopción + valor).</w:t>
      </w:r>
    </w:p>
    <w:p>
      <w:pPr>
        <w:pStyle w:val="ListParagraph"/>
        <w:numPr>
          <w:ilvl w:val="0"/>
          <w:numId w:val="2"/>
        </w:numPr>
        <w:spacing w:after="80" w:before="40" w:line="280"/>
      </w:pPr>
      <w:r>
        <w:rPr>
          <w:rFonts w:ascii="Arial" w:cs="Arial" w:eastAsia="Arial" w:hAnsi="Arial"/>
          <w:color w:val="2D2D2D"/>
          <w:sz w:val="22"/>
          <w:szCs w:val="22"/>
        </w:rPr>
        <w:t xml:space="preserve">Revisión trimestral del modelo: drift, sesgo, calidad.</w:t>
      </w:r>
    </w:p>
    <w:p>
      <w:pPr>
        <w:pStyle w:val="ListParagraph"/>
        <w:numPr>
          <w:ilvl w:val="0"/>
          <w:numId w:val="2"/>
        </w:numPr>
        <w:spacing w:after="80" w:before="40" w:line="280"/>
      </w:pPr>
      <w:r>
        <w:rPr>
          <w:rFonts w:ascii="Arial" w:cs="Arial" w:eastAsia="Arial" w:hAnsi="Arial"/>
          <w:color w:val="2D2D2D"/>
          <w:sz w:val="22"/>
          <w:szCs w:val="22"/>
        </w:rPr>
        <w:t xml:space="preserve">Reentrenamiento o recalibración según política.</w:t>
      </w:r>
    </w:p>
    <w:p>
      <w:pPr>
        <w:pStyle w:val="ListParagraph"/>
        <w:numPr>
          <w:ilvl w:val="0"/>
          <w:numId w:val="2"/>
        </w:numPr>
        <w:spacing w:after="80" w:before="40" w:line="280"/>
      </w:pPr>
      <w:r>
        <w:rPr>
          <w:rFonts w:ascii="Arial" w:cs="Arial" w:eastAsia="Arial" w:hAnsi="Arial"/>
          <w:color w:val="2D2D2D"/>
          <w:sz w:val="22"/>
          <w:szCs w:val="22"/>
        </w:rPr>
        <w:t xml:space="preserve">Revisión semestral del caso de negocio.</w:t>
      </w:r>
    </w:p>
    <w:p>
      <w:pPr>
        <w:pStyle w:val="ListParagraph"/>
        <w:numPr>
          <w:ilvl w:val="0"/>
          <w:numId w:val="2"/>
        </w:numPr>
        <w:spacing w:after="80" w:before="40" w:line="280"/>
      </w:pPr>
      <w:r>
        <w:rPr>
          <w:rFonts w:ascii="Arial" w:cs="Arial" w:eastAsia="Arial" w:hAnsi="Arial"/>
          <w:color w:val="2D2D2D"/>
          <w:sz w:val="22"/>
          <w:szCs w:val="22"/>
        </w:rPr>
        <w:t xml:space="preserve">Plan anual de mejora con backlog priorizado.</w:t>
      </w:r>
    </w:p>
    <w:p>
      <w:pPr>
        <w:pStyle w:val="Heading1"/>
        <w:pageBreakBefore/>
        <w:spacing w:after="240" w:before="480"/>
      </w:pPr>
      <w:r>
        <w:rPr>
          <w:rFonts w:ascii="Arial" w:cs="Arial" w:eastAsia="Arial" w:hAnsi="Arial"/>
          <w:b/>
          <w:bCs/>
          <w:color w:val="1F3A5F"/>
          <w:sz w:val="36"/>
          <w:szCs w:val="36"/>
        </w:rPr>
        <w:t xml:space="preserve">A.4  Gates de calidad por fase</w:t>
      </w:r>
    </w:p>
    <w:p>
      <w:pPr>
        <w:spacing w:after="180" w:before="120" w:line="320"/>
      </w:pPr>
      <w:r>
        <w:rPr>
          <w:rFonts w:ascii="Arial" w:cs="Arial" w:eastAsia="Arial" w:hAnsi="Arial"/>
          <w:color w:val="2D2D2D"/>
          <w:sz w:val="24"/>
          <w:szCs w:val="24"/>
        </w:rPr>
        <w:t xml:space="preserve">Cada paso entre fases requiere atravesar un gate documentado. El gate no es burocracia; es el mecanismo que evita que un proyecto avance con supuestos no validados. Un gate fallido obliga a regresar a la fase anterior, no a continuar con asteriscos.</w:t>
      </w:r>
    </w:p>
    <w:p>
      <w:pPr>
        <w:pStyle w:val="Heading2"/>
        <w:spacing w:after="160" w:before="320"/>
      </w:pPr>
      <w:r>
        <w:rPr>
          <w:rFonts w:ascii="Arial" w:cs="Arial" w:eastAsia="Arial" w:hAnsi="Arial"/>
          <w:b/>
          <w:bCs/>
          <w:color w:val="1F3A5F"/>
          <w:sz w:val="28"/>
          <w:szCs w:val="28"/>
        </w:rPr>
        <w:t xml:space="preserve">A.4.1  Tabla maestra de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520"/>
        <w:gridCol w:w="2520"/>
      </w:tblGrid>
      <w:tr>
        <w:trPr>
          <w:tblHeader/>
        </w:trPr>
        <w:tc>
          <w:tcPr>
            <w:tcW w:type="dxa" w:w="216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Gate</w:t>
            </w:r>
          </w:p>
        </w:tc>
        <w:tc>
          <w:tcPr>
            <w:tcW w:type="dxa" w:w="216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Quién aprueba</w:t>
            </w:r>
          </w:p>
        </w:tc>
        <w:tc>
          <w:tcPr>
            <w:tcW w:type="dxa" w:w="252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Criterios mínimos</w:t>
            </w:r>
          </w:p>
        </w:tc>
        <w:tc>
          <w:tcPr>
            <w:tcW w:type="dxa" w:w="252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Evidencia documental</w:t>
            </w:r>
          </w:p>
        </w:tc>
      </w:tr>
      <w:tr>
        <w:trPr>
          <w:tblHeader w:val="false"/>
        </w:trP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G0  ·  Iniciar descubrimiento</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Sponsor del negocio + líder técnico</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Caso candidato priorizado en el portafolio (Módulo 3); equipo asignado</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Project charter ejecutivo de una página</w:t>
            </w:r>
          </w:p>
        </w:tc>
      </w:tr>
      <w:tr>
        <w:trPr>
          <w:tblHeader w:val="false"/>
        </w:trPr>
        <w:tc>
          <w:tcPr>
            <w:tcW w:type="dxa" w:w="216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G1  ·  Pasar a PoC</w:t>
            </w:r>
          </w:p>
        </w:tc>
        <w:tc>
          <w:tcPr>
            <w:tcW w:type="dxa" w:w="216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Sponsor + líder técnico + datos</w:t>
            </w:r>
          </w:p>
        </w:tc>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Problema definido; datos disponibles y accesibles; familia de IA elegida; caso de negocio inicial</w:t>
            </w:r>
          </w:p>
        </w:tc>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Brief de descubrimiento + matriz de scoring del Módulo 4</w:t>
            </w:r>
          </w:p>
        </w:tc>
      </w:tr>
      <w:tr>
        <w:trPr>
          <w:tblHeader w:val="false"/>
        </w:trP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G2  ·  Pasar a piloto</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Sponsor + líder técnico + riesgo + legal</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PoC supera umbral de desempeño contra línea base; riesgos clave mitigables; presupuesto piloto aprobado</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Reporte de PoC + DPIA si aplica + plan de piloto</w:t>
            </w:r>
          </w:p>
        </w:tc>
      </w:tr>
      <w:tr>
        <w:trPr>
          <w:tblHeader w:val="false"/>
        </w:trPr>
        <w:tc>
          <w:tcPr>
            <w:tcW w:type="dxa" w:w="216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G3  ·  Pasar a escalamiento</w:t>
            </w:r>
          </w:p>
        </w:tc>
        <w:tc>
          <w:tcPr>
            <w:tcW w:type="dxa" w:w="216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Sponsor + comité de IA + operación</w:t>
            </w:r>
          </w:p>
        </w:tc>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Adopción y métricas operativas en verde durante el piloto; arquitectura validada para volumen objetivo; plan de soporte y adopción listos</w:t>
            </w:r>
          </w:p>
        </w:tc>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Reporte de cierre del piloto + plan de escalamiento + plan de adopción</w:t>
            </w:r>
          </w:p>
        </w:tc>
      </w:tr>
      <w:tr>
        <w:trPr>
          <w:tblHeader w:val="false"/>
        </w:trP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G4  ·  Declarar operación</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Comité de IA + operación + sponsor</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Cobertura plena alcanzada; runbooks completos; equipo dueño identificado; gobernanza de modelo activa</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Acta de transición a operación</w:t>
            </w:r>
          </w:p>
        </w:tc>
      </w:tr>
      <w:tr>
        <w:trPr>
          <w:tblHeader w:val="false"/>
        </w:trPr>
        <w:tc>
          <w:tcPr>
            <w:tcW w:type="dxa" w:w="216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G5  ·  Renovar o desactivar</w:t>
            </w:r>
          </w:p>
        </w:tc>
        <w:tc>
          <w:tcPr>
            <w:tcW w:type="dxa" w:w="216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Comité de IA + sponsor</w:t>
            </w:r>
          </w:p>
        </w:tc>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Revisión anual del caso de negocio: ROI sostenido, riesgo bajo control, adopción saludable</w:t>
            </w:r>
          </w:p>
        </w:tc>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Reporte anual del sistema con decisión documentada</w:t>
            </w:r>
          </w:p>
        </w:tc>
      </w:tr>
    </w:tbl>
    <w:p>
      <w:pPr>
        <w:spacing w:after="0" w:before="2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
              <w:left w:val="single" w:color="1F3A5F" w:sz="18"/>
              <w:bottom w:val="single" w:color="1F3A5F" w:sz="1"/>
              <w:right w:val="single" w:color="1F3A5F" w:sz="1"/>
            </w:tcBorders>
            <w:shd w:fill="F7F9FB" w:val="clear"/>
            <w:tcMar>
              <w:top w:type="dxa" w:w="160"/>
              <w:left w:type="dxa" w:w="200"/>
              <w:bottom w:type="dxa" w:w="160"/>
              <w:right w:type="dxa" w:w="200"/>
            </w:tcMar>
          </w:tcPr>
          <w:p>
            <w:pPr>
              <w:spacing w:after="80" w:before="0"/>
            </w:pPr>
            <w:r>
              <w:rPr>
                <w:rFonts w:ascii="Arial" w:cs="Arial" w:eastAsia="Arial" w:hAnsi="Arial"/>
                <w:b/>
                <w:bCs/>
                <w:color w:val="1F3A5F"/>
                <w:sz w:val="22"/>
                <w:szCs w:val="22"/>
              </w:rPr>
              <w:t xml:space="preserve">Por qué los gates importan</w:t>
            </w:r>
          </w:p>
          <w:p>
            <w:pPr>
              <w:spacing w:after="0" w:before="0" w:line="280"/>
            </w:pPr>
            <w:r>
              <w:rPr>
                <w:rFonts w:ascii="Arial" w:cs="Arial" w:eastAsia="Arial" w:hAnsi="Arial"/>
                <w:color w:val="2D2D2D"/>
                <w:sz w:val="22"/>
                <w:szCs w:val="22"/>
              </w:rPr>
              <w:t xml:space="preserve">Bajo regímenes regulatorios como EU AI Act, ISO 42001 o NIST AI RMF, la trazabilidad del ciclo de vida es exigible. Los gates documentados son la evidencia primaria de gobernanza ante reguladores, auditores y comités internos.</w:t>
            </w:r>
          </w:p>
        </w:tc>
      </w:tr>
    </w:tbl>
    <w:p>
      <w:pPr>
        <w:pStyle w:val="Heading1"/>
        <w:pageBreakBefore/>
        <w:spacing w:after="240" w:before="480"/>
      </w:pPr>
      <w:r>
        <w:rPr>
          <w:rFonts w:ascii="Arial" w:cs="Arial" w:eastAsia="Arial" w:hAnsi="Arial"/>
          <w:b/>
          <w:bCs/>
          <w:color w:val="1F3A5F"/>
          <w:sz w:val="36"/>
          <w:szCs w:val="36"/>
        </w:rPr>
        <w:t xml:space="preserve">A.5  Marco de riesgos técnicos específicos de IA</w:t>
      </w:r>
    </w:p>
    <w:p>
      <w:pPr>
        <w:spacing w:after="180" w:before="120" w:line="320"/>
      </w:pPr>
      <w:r>
        <w:rPr>
          <w:rFonts w:ascii="Arial" w:cs="Arial" w:eastAsia="Arial" w:hAnsi="Arial"/>
          <w:color w:val="2D2D2D"/>
          <w:sz w:val="24"/>
          <w:szCs w:val="24"/>
        </w:rPr>
        <w:t xml:space="preserve">Estos seis riesgos son los que con mayor frecuencia degradan o derriban soluciones de IA en producción. El marco define cada riesgo, sus señales tempranas y los controles de mitigación principales. La profundización con runbooks operativos vive en el Módulo 7.</w:t>
      </w:r>
    </w:p>
    <w:p>
      <w:pPr>
        <w:pStyle w:val="Heading2"/>
        <w:spacing w:after="160" w:before="320"/>
      </w:pPr>
      <w:r>
        <w:rPr>
          <w:rFonts w:ascii="Arial" w:cs="Arial" w:eastAsia="Arial" w:hAnsi="Arial"/>
          <w:b/>
          <w:bCs/>
          <w:color w:val="1F3A5F"/>
          <w:sz w:val="28"/>
          <w:szCs w:val="28"/>
        </w:rPr>
        <w:t xml:space="preserve">A.5.1  Drift</w:t>
      </w:r>
    </w:p>
    <w:p>
      <w:pPr>
        <w:spacing w:after="120" w:before="60" w:line="300"/>
      </w:pPr>
      <w:r>
        <w:rPr>
          <w:rFonts w:ascii="Arial" w:cs="Arial" w:eastAsia="Arial" w:hAnsi="Arial"/>
          <w:color w:val="2D2D2D"/>
          <w:sz w:val="22"/>
          <w:szCs w:val="22"/>
        </w:rPr>
        <w:t xml:space="preserve">Degradación del desempeño del modelo en producción por cambios en la distribución de los datos respecto al entrenamiento. Aplica principalmente a la familia de ML clásico, pero también a soluciones basadas en RAG cuando la base documental envejece.</w:t>
      </w:r>
    </w:p>
    <w:p>
      <w:pPr>
        <w:pStyle w:val="Heading3"/>
        <w:spacing w:after="100" w:before="200"/>
      </w:pPr>
      <w:r>
        <w:rPr>
          <w:rFonts w:ascii="Arial" w:cs="Arial" w:eastAsia="Arial" w:hAnsi="Arial"/>
          <w:b/>
          <w:bCs/>
          <w:color w:val="2E75B6"/>
          <w:sz w:val="24"/>
          <w:szCs w:val="24"/>
        </w:rPr>
        <w:t xml:space="preserve">Señales tempranas</w:t>
      </w:r>
    </w:p>
    <w:p>
      <w:pPr>
        <w:pStyle w:val="ListParagraph"/>
        <w:numPr>
          <w:ilvl w:val="0"/>
          <w:numId w:val="2"/>
        </w:numPr>
        <w:spacing w:after="80" w:before="40" w:line="280"/>
      </w:pPr>
      <w:r>
        <w:rPr>
          <w:rFonts w:ascii="Arial" w:cs="Arial" w:eastAsia="Arial" w:hAnsi="Arial"/>
          <w:color w:val="2D2D2D"/>
          <w:sz w:val="22"/>
          <w:szCs w:val="22"/>
        </w:rPr>
        <w:t xml:space="preserve">Distribución estadística de variables de entrada se aleja de la del entrenamiento.</w:t>
      </w:r>
    </w:p>
    <w:p>
      <w:pPr>
        <w:pStyle w:val="ListParagraph"/>
        <w:numPr>
          <w:ilvl w:val="0"/>
          <w:numId w:val="2"/>
        </w:numPr>
        <w:spacing w:after="80" w:before="40" w:line="280"/>
      </w:pPr>
      <w:r>
        <w:rPr>
          <w:rFonts w:ascii="Arial" w:cs="Arial" w:eastAsia="Arial" w:hAnsi="Arial"/>
          <w:color w:val="2D2D2D"/>
          <w:sz w:val="22"/>
          <w:szCs w:val="22"/>
        </w:rPr>
        <w:t xml:space="preserve">Predicciones del modelo cambian su distribución sin razón conocida.</w:t>
      </w:r>
    </w:p>
    <w:p>
      <w:pPr>
        <w:pStyle w:val="ListParagraph"/>
        <w:numPr>
          <w:ilvl w:val="0"/>
          <w:numId w:val="2"/>
        </w:numPr>
        <w:spacing w:after="80" w:before="40" w:line="280"/>
      </w:pPr>
      <w:r>
        <w:rPr>
          <w:rFonts w:ascii="Arial" w:cs="Arial" w:eastAsia="Arial" w:hAnsi="Arial"/>
          <w:color w:val="2D2D2D"/>
          <w:sz w:val="22"/>
          <w:szCs w:val="22"/>
        </w:rPr>
        <w:t xml:space="preserve">Métricas de desempeño operativo bajan progresivamente.</w:t>
      </w:r>
    </w:p>
    <w:p>
      <w:pPr>
        <w:pStyle w:val="Heading3"/>
        <w:spacing w:after="100" w:before="200"/>
      </w:pPr>
      <w:r>
        <w:rPr>
          <w:rFonts w:ascii="Arial" w:cs="Arial" w:eastAsia="Arial" w:hAnsi="Arial"/>
          <w:b/>
          <w:bCs/>
          <w:color w:val="2E75B6"/>
          <w:sz w:val="24"/>
          <w:szCs w:val="24"/>
        </w:rPr>
        <w:t xml:space="preserve">Controles principales</w:t>
      </w:r>
    </w:p>
    <w:p>
      <w:pPr>
        <w:pStyle w:val="ListParagraph"/>
        <w:numPr>
          <w:ilvl w:val="0"/>
          <w:numId w:val="2"/>
        </w:numPr>
        <w:spacing w:after="80" w:before="40" w:line="280"/>
      </w:pPr>
      <w:r>
        <w:rPr>
          <w:rFonts w:ascii="Arial" w:cs="Arial" w:eastAsia="Arial" w:hAnsi="Arial"/>
          <w:color w:val="2D2D2D"/>
          <w:sz w:val="22"/>
          <w:szCs w:val="22"/>
        </w:rPr>
        <w:t xml:space="preserve">Monitoreo continuo de drift de entrada (data drift) y de salida (concept drift).</w:t>
      </w:r>
    </w:p>
    <w:p>
      <w:pPr>
        <w:pStyle w:val="ListParagraph"/>
        <w:numPr>
          <w:ilvl w:val="0"/>
          <w:numId w:val="2"/>
        </w:numPr>
        <w:spacing w:after="80" w:before="40" w:line="280"/>
      </w:pPr>
      <w:r>
        <w:rPr>
          <w:rFonts w:ascii="Arial" w:cs="Arial" w:eastAsia="Arial" w:hAnsi="Arial"/>
          <w:color w:val="2D2D2D"/>
          <w:sz w:val="22"/>
          <w:szCs w:val="22"/>
        </w:rPr>
        <w:t xml:space="preserve">Política de reentrenamiento programado, con frecuencia derivada del fenómeno.</w:t>
      </w:r>
    </w:p>
    <w:p>
      <w:pPr>
        <w:pStyle w:val="ListParagraph"/>
        <w:numPr>
          <w:ilvl w:val="0"/>
          <w:numId w:val="2"/>
        </w:numPr>
        <w:spacing w:after="80" w:before="40" w:line="280"/>
      </w:pPr>
      <w:r>
        <w:rPr>
          <w:rFonts w:ascii="Arial" w:cs="Arial" w:eastAsia="Arial" w:hAnsi="Arial"/>
          <w:color w:val="2D2D2D"/>
          <w:sz w:val="22"/>
          <w:szCs w:val="22"/>
        </w:rPr>
        <w:t xml:space="preserve">Línea base de desempeño revisada cada trimestre con muestra etiquetada.</w:t>
      </w:r>
    </w:p>
    <w:p>
      <w:pPr>
        <w:pStyle w:val="Heading2"/>
        <w:spacing w:after="160" w:before="320"/>
      </w:pPr>
      <w:r>
        <w:rPr>
          <w:rFonts w:ascii="Arial" w:cs="Arial" w:eastAsia="Arial" w:hAnsi="Arial"/>
          <w:b/>
          <w:bCs/>
          <w:color w:val="1F3A5F"/>
          <w:sz w:val="28"/>
          <w:szCs w:val="28"/>
        </w:rPr>
        <w:t xml:space="preserve">A.5.2  Sesgo</w:t>
      </w:r>
    </w:p>
    <w:p>
      <w:pPr>
        <w:spacing w:after="120" w:before="60" w:line="300"/>
      </w:pPr>
      <w:r>
        <w:rPr>
          <w:rFonts w:ascii="Arial" w:cs="Arial" w:eastAsia="Arial" w:hAnsi="Arial"/>
          <w:color w:val="2D2D2D"/>
          <w:sz w:val="22"/>
          <w:szCs w:val="22"/>
        </w:rPr>
        <w:t xml:space="preserve">El modelo produce decisiones sistemáticamente desfavorables para uno o más grupos. Es heredado de los datos o introducido por el diseño del modelo. Ineludible en sistemas que deciden sobre personas (crédito, selección, salud, acceso a servicios). Riesgo crítico bajo EU AI Act y regulación sectorial.</w:t>
      </w:r>
    </w:p>
    <w:p>
      <w:pPr>
        <w:pStyle w:val="Heading3"/>
        <w:spacing w:after="100" w:before="200"/>
      </w:pPr>
      <w:r>
        <w:rPr>
          <w:rFonts w:ascii="Arial" w:cs="Arial" w:eastAsia="Arial" w:hAnsi="Arial"/>
          <w:b/>
          <w:bCs/>
          <w:color w:val="2E75B6"/>
          <w:sz w:val="24"/>
          <w:szCs w:val="24"/>
        </w:rPr>
        <w:t xml:space="preserve">Señales tempranas</w:t>
      </w:r>
    </w:p>
    <w:p>
      <w:pPr>
        <w:pStyle w:val="ListParagraph"/>
        <w:numPr>
          <w:ilvl w:val="0"/>
          <w:numId w:val="2"/>
        </w:numPr>
        <w:spacing w:after="80" w:before="40" w:line="280"/>
      </w:pPr>
      <w:r>
        <w:rPr>
          <w:rFonts w:ascii="Arial" w:cs="Arial" w:eastAsia="Arial" w:hAnsi="Arial"/>
          <w:color w:val="2D2D2D"/>
          <w:sz w:val="22"/>
          <w:szCs w:val="22"/>
        </w:rPr>
        <w:t xml:space="preserve">Disparidad en métricas de desempeño entre grupos protegidos.</w:t>
      </w:r>
    </w:p>
    <w:p>
      <w:pPr>
        <w:pStyle w:val="ListParagraph"/>
        <w:numPr>
          <w:ilvl w:val="0"/>
          <w:numId w:val="2"/>
        </w:numPr>
        <w:spacing w:after="80" w:before="40" w:line="280"/>
      </w:pPr>
      <w:r>
        <w:rPr>
          <w:rFonts w:ascii="Arial" w:cs="Arial" w:eastAsia="Arial" w:hAnsi="Arial"/>
          <w:color w:val="2D2D2D"/>
          <w:sz w:val="22"/>
          <w:szCs w:val="22"/>
        </w:rPr>
        <w:t xml:space="preserve">Volumen de quejas o reclamos concentrado en un segmento.</w:t>
      </w:r>
    </w:p>
    <w:p>
      <w:pPr>
        <w:pStyle w:val="ListParagraph"/>
        <w:numPr>
          <w:ilvl w:val="0"/>
          <w:numId w:val="2"/>
        </w:numPr>
        <w:spacing w:after="80" w:before="40" w:line="280"/>
      </w:pPr>
      <w:r>
        <w:rPr>
          <w:rFonts w:ascii="Arial" w:cs="Arial" w:eastAsia="Arial" w:hAnsi="Arial"/>
          <w:color w:val="2D2D2D"/>
          <w:sz w:val="22"/>
          <w:szCs w:val="22"/>
        </w:rPr>
        <w:t xml:space="preserve">Auditoría externa o regulatoria detecta brecha.</w:t>
      </w:r>
    </w:p>
    <w:p>
      <w:pPr>
        <w:pStyle w:val="Heading3"/>
        <w:spacing w:after="100" w:before="200"/>
      </w:pPr>
      <w:r>
        <w:rPr>
          <w:rFonts w:ascii="Arial" w:cs="Arial" w:eastAsia="Arial" w:hAnsi="Arial"/>
          <w:b/>
          <w:bCs/>
          <w:color w:val="2E75B6"/>
          <w:sz w:val="24"/>
          <w:szCs w:val="24"/>
        </w:rPr>
        <w:t xml:space="preserve">Controles principales</w:t>
      </w:r>
    </w:p>
    <w:p>
      <w:pPr>
        <w:pStyle w:val="ListParagraph"/>
        <w:numPr>
          <w:ilvl w:val="0"/>
          <w:numId w:val="2"/>
        </w:numPr>
        <w:spacing w:after="80" w:before="40" w:line="280"/>
      </w:pPr>
      <w:r>
        <w:rPr>
          <w:rFonts w:ascii="Arial" w:cs="Arial" w:eastAsia="Arial" w:hAnsi="Arial"/>
          <w:color w:val="2D2D2D"/>
          <w:sz w:val="22"/>
          <w:szCs w:val="22"/>
        </w:rPr>
        <w:t xml:space="preserve">Análisis de equidad por grupo protegido en validación y en operación.</w:t>
      </w:r>
    </w:p>
    <w:p>
      <w:pPr>
        <w:pStyle w:val="ListParagraph"/>
        <w:numPr>
          <w:ilvl w:val="0"/>
          <w:numId w:val="2"/>
        </w:numPr>
        <w:spacing w:after="80" w:before="40" w:line="280"/>
      </w:pPr>
      <w:r>
        <w:rPr>
          <w:rFonts w:ascii="Arial" w:cs="Arial" w:eastAsia="Arial" w:hAnsi="Arial"/>
          <w:color w:val="2D2D2D"/>
          <w:sz w:val="22"/>
          <w:szCs w:val="22"/>
        </w:rPr>
        <w:t xml:space="preserve">Métricas de fairness embebidas en el dashboard del sistema.</w:t>
      </w:r>
    </w:p>
    <w:p>
      <w:pPr>
        <w:pStyle w:val="ListParagraph"/>
        <w:numPr>
          <w:ilvl w:val="0"/>
          <w:numId w:val="2"/>
        </w:numPr>
        <w:spacing w:after="80" w:before="40" w:line="280"/>
      </w:pPr>
      <w:r>
        <w:rPr>
          <w:rFonts w:ascii="Arial" w:cs="Arial" w:eastAsia="Arial" w:hAnsi="Arial"/>
          <w:color w:val="2D2D2D"/>
          <w:sz w:val="22"/>
          <w:szCs w:val="22"/>
        </w:rPr>
        <w:t xml:space="preserve">Mecanismos de override y revisión humana en decisiones de alto impacto.</w:t>
      </w:r>
    </w:p>
    <w:p>
      <w:pPr>
        <w:pStyle w:val="ListParagraph"/>
        <w:numPr>
          <w:ilvl w:val="0"/>
          <w:numId w:val="2"/>
        </w:numPr>
        <w:spacing w:after="80" w:before="40" w:line="280"/>
      </w:pPr>
      <w:r>
        <w:rPr>
          <w:rFonts w:ascii="Arial" w:cs="Arial" w:eastAsia="Arial" w:hAnsi="Arial"/>
          <w:color w:val="2D2D2D"/>
          <w:sz w:val="22"/>
          <w:szCs w:val="22"/>
        </w:rPr>
        <w:t xml:space="preserve">Documentación de datasets y de su representatividad.</w:t>
      </w:r>
    </w:p>
    <w:p>
      <w:pPr>
        <w:pStyle w:val="Heading2"/>
        <w:spacing w:after="160" w:before="320"/>
      </w:pPr>
      <w:r>
        <w:rPr>
          <w:rFonts w:ascii="Arial" w:cs="Arial" w:eastAsia="Arial" w:hAnsi="Arial"/>
          <w:b/>
          <w:bCs/>
          <w:color w:val="1F3A5F"/>
          <w:sz w:val="28"/>
          <w:szCs w:val="28"/>
        </w:rPr>
        <w:t xml:space="preserve">A.5.3  Alucinación</w:t>
      </w:r>
    </w:p>
    <w:p>
      <w:pPr>
        <w:spacing w:after="120" w:before="60" w:line="300"/>
      </w:pPr>
      <w:r>
        <w:rPr>
          <w:rFonts w:ascii="Arial" w:cs="Arial" w:eastAsia="Arial" w:hAnsi="Arial"/>
          <w:color w:val="2D2D2D"/>
          <w:sz w:val="22"/>
          <w:szCs w:val="22"/>
        </w:rPr>
        <w:t xml:space="preserve">El modelo genera contenido plausible pero falso. Específico y crítico en GenAI. Riesgo alto en dominios regulados (legal, salud, financiero) y en cualquier sistema donde el usuario podría tomar decisiones a partir de la respuesta sin verificarla.</w:t>
      </w:r>
    </w:p>
    <w:p>
      <w:pPr>
        <w:pStyle w:val="Heading3"/>
        <w:spacing w:after="100" w:before="200"/>
      </w:pPr>
      <w:r>
        <w:rPr>
          <w:rFonts w:ascii="Arial" w:cs="Arial" w:eastAsia="Arial" w:hAnsi="Arial"/>
          <w:b/>
          <w:bCs/>
          <w:color w:val="2E75B6"/>
          <w:sz w:val="24"/>
          <w:szCs w:val="24"/>
        </w:rPr>
        <w:t xml:space="preserve">Señales tempranas</w:t>
      </w:r>
    </w:p>
    <w:p>
      <w:pPr>
        <w:pStyle w:val="ListParagraph"/>
        <w:numPr>
          <w:ilvl w:val="0"/>
          <w:numId w:val="2"/>
        </w:numPr>
        <w:spacing w:after="80" w:before="40" w:line="280"/>
      </w:pPr>
      <w:r>
        <w:rPr>
          <w:rFonts w:ascii="Arial" w:cs="Arial" w:eastAsia="Arial" w:hAnsi="Arial"/>
          <w:color w:val="2D2D2D"/>
          <w:sz w:val="22"/>
          <w:szCs w:val="22"/>
        </w:rPr>
        <w:t xml:space="preserve">Reportes de usuarios sobre respuestas incorrectas o fabricadas.</w:t>
      </w:r>
    </w:p>
    <w:p>
      <w:pPr>
        <w:pStyle w:val="ListParagraph"/>
        <w:numPr>
          <w:ilvl w:val="0"/>
          <w:numId w:val="2"/>
        </w:numPr>
        <w:spacing w:after="80" w:before="40" w:line="280"/>
      </w:pPr>
      <w:r>
        <w:rPr>
          <w:rFonts w:ascii="Arial" w:cs="Arial" w:eastAsia="Arial" w:hAnsi="Arial"/>
          <w:color w:val="2D2D2D"/>
          <w:sz w:val="22"/>
          <w:szCs w:val="22"/>
        </w:rPr>
        <w:t xml:space="preserve">Auditoría manual de muestras detecta tasa de error inaceptable.</w:t>
      </w:r>
    </w:p>
    <w:p>
      <w:pPr>
        <w:pStyle w:val="ListParagraph"/>
        <w:numPr>
          <w:ilvl w:val="0"/>
          <w:numId w:val="2"/>
        </w:numPr>
        <w:spacing w:after="80" w:before="40" w:line="280"/>
      </w:pPr>
      <w:r>
        <w:rPr>
          <w:rFonts w:ascii="Arial" w:cs="Arial" w:eastAsia="Arial" w:hAnsi="Arial"/>
          <w:color w:val="2D2D2D"/>
          <w:sz w:val="22"/>
          <w:szCs w:val="22"/>
        </w:rPr>
        <w:t xml:space="preserve">El sistema responde con confianza a preguntas fuera de su alcance.</w:t>
      </w:r>
    </w:p>
    <w:p>
      <w:pPr>
        <w:pStyle w:val="Heading3"/>
        <w:spacing w:after="100" w:before="200"/>
      </w:pPr>
      <w:r>
        <w:rPr>
          <w:rFonts w:ascii="Arial" w:cs="Arial" w:eastAsia="Arial" w:hAnsi="Arial"/>
          <w:b/>
          <w:bCs/>
          <w:color w:val="2E75B6"/>
          <w:sz w:val="24"/>
          <w:szCs w:val="24"/>
        </w:rPr>
        <w:t xml:space="preserve">Controles principales</w:t>
      </w:r>
    </w:p>
    <w:p>
      <w:pPr>
        <w:pStyle w:val="ListParagraph"/>
        <w:numPr>
          <w:ilvl w:val="0"/>
          <w:numId w:val="2"/>
        </w:numPr>
        <w:spacing w:after="80" w:before="40" w:line="280"/>
      </w:pPr>
      <w:r>
        <w:rPr>
          <w:rFonts w:ascii="Arial" w:cs="Arial" w:eastAsia="Arial" w:hAnsi="Arial"/>
          <w:color w:val="2D2D2D"/>
          <w:sz w:val="22"/>
          <w:szCs w:val="22"/>
        </w:rPr>
        <w:t xml:space="preserve">Arquitectura RAG con citas verificables a la fuente.</w:t>
      </w:r>
    </w:p>
    <w:p>
      <w:pPr>
        <w:pStyle w:val="ListParagraph"/>
        <w:numPr>
          <w:ilvl w:val="0"/>
          <w:numId w:val="2"/>
        </w:numPr>
        <w:spacing w:after="80" w:before="40" w:line="280"/>
      </w:pPr>
      <w:r>
        <w:rPr>
          <w:rFonts w:ascii="Arial" w:cs="Arial" w:eastAsia="Arial" w:hAnsi="Arial"/>
          <w:color w:val="2D2D2D"/>
          <w:sz w:val="22"/>
          <w:szCs w:val="22"/>
        </w:rPr>
        <w:t xml:space="preserve">Política de "no sé" forzada cuando la confianza es baja.</w:t>
      </w:r>
    </w:p>
    <w:p>
      <w:pPr>
        <w:pStyle w:val="ListParagraph"/>
        <w:numPr>
          <w:ilvl w:val="0"/>
          <w:numId w:val="2"/>
        </w:numPr>
        <w:spacing w:after="80" w:before="40" w:line="280"/>
      </w:pPr>
      <w:r>
        <w:rPr>
          <w:rFonts w:ascii="Arial" w:cs="Arial" w:eastAsia="Arial" w:hAnsi="Arial"/>
          <w:color w:val="2D2D2D"/>
          <w:sz w:val="22"/>
          <w:szCs w:val="22"/>
        </w:rPr>
        <w:t xml:space="preserve">Evaluación periódica con conjuntos de pruebas cuidadosamente diseñados.</w:t>
      </w:r>
    </w:p>
    <w:p>
      <w:pPr>
        <w:pStyle w:val="ListParagraph"/>
        <w:numPr>
          <w:ilvl w:val="0"/>
          <w:numId w:val="2"/>
        </w:numPr>
        <w:spacing w:after="80" w:before="40" w:line="280"/>
      </w:pPr>
      <w:r>
        <w:rPr>
          <w:rFonts w:ascii="Arial" w:cs="Arial" w:eastAsia="Arial" w:hAnsi="Arial"/>
          <w:color w:val="2D2D2D"/>
          <w:sz w:val="22"/>
          <w:szCs w:val="22"/>
        </w:rPr>
        <w:t xml:space="preserve">Validación humana obligatoria antes de acción sobre dominios sensibles.</w:t>
      </w:r>
    </w:p>
    <w:p>
      <w:pPr>
        <w:pStyle w:val="Heading2"/>
        <w:spacing w:after="160" w:before="320"/>
      </w:pPr>
      <w:r>
        <w:rPr>
          <w:rFonts w:ascii="Arial" w:cs="Arial" w:eastAsia="Arial" w:hAnsi="Arial"/>
          <w:b/>
          <w:bCs/>
          <w:color w:val="1F3A5F"/>
          <w:sz w:val="28"/>
          <w:szCs w:val="28"/>
        </w:rPr>
        <w:t xml:space="preserve">A.5.4  Fuga de datos</w:t>
      </w:r>
    </w:p>
    <w:p>
      <w:pPr>
        <w:spacing w:after="120" w:before="60" w:line="300"/>
      </w:pPr>
      <w:r>
        <w:rPr>
          <w:rFonts w:ascii="Arial" w:cs="Arial" w:eastAsia="Arial" w:hAnsi="Arial"/>
          <w:color w:val="2D2D2D"/>
          <w:sz w:val="22"/>
          <w:szCs w:val="22"/>
        </w:rPr>
        <w:t xml:space="preserve">Datos confidenciales, personales o de propiedad intelectual salen del perímetro controlado. Particularmente crítico cuando se usan modelos de terceros vía API. La fuga puede ocurrir en el envío al modelo, en el entrenamiento o fine-tuning, o por exfiltración deliberada vía prompt injection.</w:t>
      </w:r>
    </w:p>
    <w:p>
      <w:pPr>
        <w:pStyle w:val="Heading3"/>
        <w:spacing w:after="100" w:before="200"/>
      </w:pPr>
      <w:r>
        <w:rPr>
          <w:rFonts w:ascii="Arial" w:cs="Arial" w:eastAsia="Arial" w:hAnsi="Arial"/>
          <w:b/>
          <w:bCs/>
          <w:color w:val="2E75B6"/>
          <w:sz w:val="24"/>
          <w:szCs w:val="24"/>
        </w:rPr>
        <w:t xml:space="preserve">Señales tempranas</w:t>
      </w:r>
    </w:p>
    <w:p>
      <w:pPr>
        <w:pStyle w:val="ListParagraph"/>
        <w:numPr>
          <w:ilvl w:val="0"/>
          <w:numId w:val="2"/>
        </w:numPr>
        <w:spacing w:after="80" w:before="40" w:line="280"/>
      </w:pPr>
      <w:r>
        <w:rPr>
          <w:rFonts w:ascii="Arial" w:cs="Arial" w:eastAsia="Arial" w:hAnsi="Arial"/>
          <w:color w:val="2D2D2D"/>
          <w:sz w:val="22"/>
          <w:szCs w:val="22"/>
        </w:rPr>
        <w:t xml:space="preserve">Auditoría detecta envío de PII o datos confidenciales a modelos externos.</w:t>
      </w:r>
    </w:p>
    <w:p>
      <w:pPr>
        <w:pStyle w:val="ListParagraph"/>
        <w:numPr>
          <w:ilvl w:val="0"/>
          <w:numId w:val="2"/>
        </w:numPr>
        <w:spacing w:after="80" w:before="40" w:line="280"/>
      </w:pPr>
      <w:r>
        <w:rPr>
          <w:rFonts w:ascii="Arial" w:cs="Arial" w:eastAsia="Arial" w:hAnsi="Arial"/>
          <w:color w:val="2D2D2D"/>
          <w:sz w:val="22"/>
          <w:szCs w:val="22"/>
        </w:rPr>
        <w:t xml:space="preserve">Aparición de información interna en respuestas a usuarios externos.</w:t>
      </w:r>
    </w:p>
    <w:p>
      <w:pPr>
        <w:pStyle w:val="ListParagraph"/>
        <w:numPr>
          <w:ilvl w:val="0"/>
          <w:numId w:val="2"/>
        </w:numPr>
        <w:spacing w:after="80" w:before="40" w:line="280"/>
      </w:pPr>
      <w:r>
        <w:rPr>
          <w:rFonts w:ascii="Arial" w:cs="Arial" w:eastAsia="Arial" w:hAnsi="Arial"/>
          <w:color w:val="2D2D2D"/>
          <w:sz w:val="22"/>
          <w:szCs w:val="22"/>
        </w:rPr>
        <w:t xml:space="preserve">Logs muestran patrones de extracción de datos sospechosos.</w:t>
      </w:r>
    </w:p>
    <w:p>
      <w:pPr>
        <w:pStyle w:val="Heading3"/>
        <w:spacing w:after="100" w:before="200"/>
      </w:pPr>
      <w:r>
        <w:rPr>
          <w:rFonts w:ascii="Arial" w:cs="Arial" w:eastAsia="Arial" w:hAnsi="Arial"/>
          <w:b/>
          <w:bCs/>
          <w:color w:val="2E75B6"/>
          <w:sz w:val="24"/>
          <w:szCs w:val="24"/>
        </w:rPr>
        <w:t xml:space="preserve">Controles principales</w:t>
      </w:r>
    </w:p>
    <w:p>
      <w:pPr>
        <w:pStyle w:val="ListParagraph"/>
        <w:numPr>
          <w:ilvl w:val="0"/>
          <w:numId w:val="2"/>
        </w:numPr>
        <w:spacing w:after="80" w:before="40" w:line="280"/>
      </w:pPr>
      <w:r>
        <w:rPr>
          <w:rFonts w:ascii="Arial" w:cs="Arial" w:eastAsia="Arial" w:hAnsi="Arial"/>
          <w:color w:val="2D2D2D"/>
          <w:sz w:val="22"/>
          <w:szCs w:val="22"/>
        </w:rPr>
        <w:t xml:space="preserve">Anonimización o tokenización de datos antes del envío al modelo.</w:t>
      </w:r>
    </w:p>
    <w:p>
      <w:pPr>
        <w:pStyle w:val="ListParagraph"/>
        <w:numPr>
          <w:ilvl w:val="0"/>
          <w:numId w:val="2"/>
        </w:numPr>
        <w:spacing w:after="80" w:before="40" w:line="280"/>
      </w:pPr>
      <w:r>
        <w:rPr>
          <w:rFonts w:ascii="Arial" w:cs="Arial" w:eastAsia="Arial" w:hAnsi="Arial"/>
          <w:color w:val="2D2D2D"/>
          <w:sz w:val="22"/>
          <w:szCs w:val="22"/>
        </w:rPr>
        <w:t xml:space="preserve">Cláusulas contractuales explícitas de no-entrenamiento y residencia de datos.</w:t>
      </w:r>
    </w:p>
    <w:p>
      <w:pPr>
        <w:pStyle w:val="ListParagraph"/>
        <w:numPr>
          <w:ilvl w:val="0"/>
          <w:numId w:val="2"/>
        </w:numPr>
        <w:spacing w:after="80" w:before="40" w:line="280"/>
      </w:pPr>
      <w:r>
        <w:rPr>
          <w:rFonts w:ascii="Arial" w:cs="Arial" w:eastAsia="Arial" w:hAnsi="Arial"/>
          <w:color w:val="2D2D2D"/>
          <w:sz w:val="22"/>
          <w:szCs w:val="22"/>
        </w:rPr>
        <w:t xml:space="preserve">Modelos auto-alojados o instancia dedicada para datos altamente sensibles.</w:t>
      </w:r>
    </w:p>
    <w:p>
      <w:pPr>
        <w:pStyle w:val="ListParagraph"/>
        <w:numPr>
          <w:ilvl w:val="0"/>
          <w:numId w:val="2"/>
        </w:numPr>
        <w:spacing w:after="80" w:before="40" w:line="280"/>
      </w:pPr>
      <w:r>
        <w:rPr>
          <w:rFonts w:ascii="Arial" w:cs="Arial" w:eastAsia="Arial" w:hAnsi="Arial"/>
          <w:color w:val="2D2D2D"/>
          <w:sz w:val="22"/>
          <w:szCs w:val="22"/>
        </w:rPr>
        <w:t xml:space="preserve">Logs de prompts y respuestas con análisis automatizado de fuga.</w:t>
      </w:r>
    </w:p>
    <w:p>
      <w:pPr>
        <w:pStyle w:val="Heading2"/>
        <w:spacing w:after="160" w:before="320"/>
      </w:pPr>
      <w:r>
        <w:rPr>
          <w:rFonts w:ascii="Arial" w:cs="Arial" w:eastAsia="Arial" w:hAnsi="Arial"/>
          <w:b/>
          <w:bCs/>
          <w:color w:val="1F3A5F"/>
          <w:sz w:val="28"/>
          <w:szCs w:val="28"/>
        </w:rPr>
        <w:t xml:space="preserve">A.5.5  Prompt injection y manipulación de modelo</w:t>
      </w:r>
    </w:p>
    <w:p>
      <w:pPr>
        <w:spacing w:after="120" w:before="60" w:line="300"/>
      </w:pPr>
      <w:r>
        <w:rPr>
          <w:rFonts w:ascii="Arial" w:cs="Arial" w:eastAsia="Arial" w:hAnsi="Arial"/>
          <w:color w:val="2D2D2D"/>
          <w:sz w:val="22"/>
          <w:szCs w:val="22"/>
        </w:rPr>
        <w:t xml:space="preserve">Un atacante introduce instrucciones maliciosas en la entrada del modelo para alterar su comportamiento, exfiltrar datos o ejecutar acciones no autorizadas. Especialmente peligroso en agentes con acceso a herramientas y a sistemas internos. Es la frontera de seguridad activa en sistemas GenAI.</w:t>
      </w:r>
    </w:p>
    <w:p>
      <w:pPr>
        <w:pStyle w:val="Heading3"/>
        <w:spacing w:after="100" w:before="200"/>
      </w:pPr>
      <w:r>
        <w:rPr>
          <w:rFonts w:ascii="Arial" w:cs="Arial" w:eastAsia="Arial" w:hAnsi="Arial"/>
          <w:b/>
          <w:bCs/>
          <w:color w:val="2E75B6"/>
          <w:sz w:val="24"/>
          <w:szCs w:val="24"/>
        </w:rPr>
        <w:t xml:space="preserve">Señales tempranas</w:t>
      </w:r>
    </w:p>
    <w:p>
      <w:pPr>
        <w:pStyle w:val="ListParagraph"/>
        <w:numPr>
          <w:ilvl w:val="0"/>
          <w:numId w:val="2"/>
        </w:numPr>
        <w:spacing w:after="80" w:before="40" w:line="280"/>
      </w:pPr>
      <w:r>
        <w:rPr>
          <w:rFonts w:ascii="Arial" w:cs="Arial" w:eastAsia="Arial" w:hAnsi="Arial"/>
          <w:color w:val="2D2D2D"/>
          <w:sz w:val="22"/>
          <w:szCs w:val="22"/>
        </w:rPr>
        <w:t xml:space="preserve">Comportamiento del modelo se desvía de su instrucción base ante ciertos inputs.</w:t>
      </w:r>
    </w:p>
    <w:p>
      <w:pPr>
        <w:pStyle w:val="ListParagraph"/>
        <w:numPr>
          <w:ilvl w:val="0"/>
          <w:numId w:val="2"/>
        </w:numPr>
        <w:spacing w:after="80" w:before="40" w:line="280"/>
      </w:pPr>
      <w:r>
        <w:rPr>
          <w:rFonts w:ascii="Arial" w:cs="Arial" w:eastAsia="Arial" w:hAnsi="Arial"/>
          <w:color w:val="2D2D2D"/>
          <w:sz w:val="22"/>
          <w:szCs w:val="22"/>
        </w:rPr>
        <w:t xml:space="preserve">Logs muestran intentos de inyección o de jailbreak.</w:t>
      </w:r>
    </w:p>
    <w:p>
      <w:pPr>
        <w:pStyle w:val="ListParagraph"/>
        <w:numPr>
          <w:ilvl w:val="0"/>
          <w:numId w:val="2"/>
        </w:numPr>
        <w:spacing w:after="80" w:before="40" w:line="280"/>
      </w:pPr>
      <w:r>
        <w:rPr>
          <w:rFonts w:ascii="Arial" w:cs="Arial" w:eastAsia="Arial" w:hAnsi="Arial"/>
          <w:color w:val="2D2D2D"/>
          <w:sz w:val="22"/>
          <w:szCs w:val="22"/>
        </w:rPr>
        <w:t xml:space="preserve">Auditoría detecta acciones del agente fuera de su scope autorizado.</w:t>
      </w:r>
    </w:p>
    <w:p>
      <w:pPr>
        <w:pStyle w:val="Heading3"/>
        <w:spacing w:after="100" w:before="200"/>
      </w:pPr>
      <w:r>
        <w:rPr>
          <w:rFonts w:ascii="Arial" w:cs="Arial" w:eastAsia="Arial" w:hAnsi="Arial"/>
          <w:b/>
          <w:bCs/>
          <w:color w:val="2E75B6"/>
          <w:sz w:val="24"/>
          <w:szCs w:val="24"/>
        </w:rPr>
        <w:t xml:space="preserve">Controles principales</w:t>
      </w:r>
    </w:p>
    <w:p>
      <w:pPr>
        <w:pStyle w:val="ListParagraph"/>
        <w:numPr>
          <w:ilvl w:val="0"/>
          <w:numId w:val="2"/>
        </w:numPr>
        <w:spacing w:after="80" w:before="40" w:line="280"/>
      </w:pPr>
      <w:r>
        <w:rPr>
          <w:rFonts w:ascii="Arial" w:cs="Arial" w:eastAsia="Arial" w:hAnsi="Arial"/>
          <w:color w:val="2D2D2D"/>
          <w:sz w:val="22"/>
          <w:szCs w:val="22"/>
        </w:rPr>
        <w:t xml:space="preserve">Validación y saneamiento de inputs antes del modelo.</w:t>
      </w:r>
    </w:p>
    <w:p>
      <w:pPr>
        <w:pStyle w:val="ListParagraph"/>
        <w:numPr>
          <w:ilvl w:val="0"/>
          <w:numId w:val="2"/>
        </w:numPr>
        <w:spacing w:after="80" w:before="40" w:line="280"/>
      </w:pPr>
      <w:r>
        <w:rPr>
          <w:rFonts w:ascii="Arial" w:cs="Arial" w:eastAsia="Arial" w:hAnsi="Arial"/>
          <w:color w:val="2D2D2D"/>
          <w:sz w:val="22"/>
          <w:szCs w:val="22"/>
        </w:rPr>
        <w:t xml:space="preserve">Separación estricta entre instrucciones del sistema y contenido del usuario.</w:t>
      </w:r>
    </w:p>
    <w:p>
      <w:pPr>
        <w:pStyle w:val="ListParagraph"/>
        <w:numPr>
          <w:ilvl w:val="0"/>
          <w:numId w:val="2"/>
        </w:numPr>
        <w:spacing w:after="80" w:before="40" w:line="280"/>
      </w:pPr>
      <w:r>
        <w:rPr>
          <w:rFonts w:ascii="Arial" w:cs="Arial" w:eastAsia="Arial" w:hAnsi="Arial"/>
          <w:color w:val="2D2D2D"/>
          <w:sz w:val="22"/>
          <w:szCs w:val="22"/>
        </w:rPr>
        <w:t xml:space="preserve">Principio de mínimo privilegio en agentes: cada herramienta con autorización explícita.</w:t>
      </w:r>
    </w:p>
    <w:p>
      <w:pPr>
        <w:pStyle w:val="ListParagraph"/>
        <w:numPr>
          <w:ilvl w:val="0"/>
          <w:numId w:val="2"/>
        </w:numPr>
        <w:spacing w:after="80" w:before="40" w:line="280"/>
      </w:pPr>
      <w:r>
        <w:rPr>
          <w:rFonts w:ascii="Arial" w:cs="Arial" w:eastAsia="Arial" w:hAnsi="Arial"/>
          <w:color w:val="2D2D2D"/>
          <w:sz w:val="22"/>
          <w:szCs w:val="22"/>
        </w:rPr>
        <w:t xml:space="preserve">Pruebas de adversario (red teaming) periódicas.</w:t>
      </w:r>
    </w:p>
    <w:p>
      <w:pPr>
        <w:pStyle w:val="ListParagraph"/>
        <w:numPr>
          <w:ilvl w:val="0"/>
          <w:numId w:val="2"/>
        </w:numPr>
        <w:spacing w:after="80" w:before="40" w:line="280"/>
      </w:pPr>
      <w:r>
        <w:rPr>
          <w:rFonts w:ascii="Arial" w:cs="Arial" w:eastAsia="Arial" w:hAnsi="Arial"/>
          <w:color w:val="2D2D2D"/>
          <w:sz w:val="22"/>
          <w:szCs w:val="22"/>
        </w:rPr>
        <w:t xml:space="preserve">Mecanismo de override humano en acciones de alto impacto.</w:t>
      </w:r>
    </w:p>
    <w:p>
      <w:pPr>
        <w:pStyle w:val="Heading2"/>
        <w:spacing w:after="160" w:before="320"/>
      </w:pPr>
      <w:r>
        <w:rPr>
          <w:rFonts w:ascii="Arial" w:cs="Arial" w:eastAsia="Arial" w:hAnsi="Arial"/>
          <w:b/>
          <w:bCs/>
          <w:color w:val="1F3A5F"/>
          <w:sz w:val="28"/>
          <w:szCs w:val="28"/>
        </w:rPr>
        <w:t xml:space="preserve">A.5.6  Dependencia de proveedor</w:t>
      </w:r>
    </w:p>
    <w:p>
      <w:pPr>
        <w:spacing w:after="120" w:before="60" w:line="300"/>
      </w:pPr>
      <w:r>
        <w:rPr>
          <w:rFonts w:ascii="Arial" w:cs="Arial" w:eastAsia="Arial" w:hAnsi="Arial"/>
          <w:color w:val="2D2D2D"/>
          <w:sz w:val="22"/>
          <w:szCs w:val="22"/>
        </w:rPr>
        <w:t xml:space="preserve">El sistema queda atado a un proveedor cuyas decisiones de producto, precio o disponibilidad afectan directamente la operación. Riesgo subestimado en GenAI, donde versiones de modelo cambian con frecuencia, costos pueden ajustarse y el proveedor puede deprecar capacidades. Es riesgo de continuidad operativa, no solo financiero.</w:t>
      </w:r>
    </w:p>
    <w:p>
      <w:pPr>
        <w:pStyle w:val="Heading3"/>
        <w:spacing w:after="100" w:before="200"/>
      </w:pPr>
      <w:r>
        <w:rPr>
          <w:rFonts w:ascii="Arial" w:cs="Arial" w:eastAsia="Arial" w:hAnsi="Arial"/>
          <w:b/>
          <w:bCs/>
          <w:color w:val="2E75B6"/>
          <w:sz w:val="24"/>
          <w:szCs w:val="24"/>
        </w:rPr>
        <w:t xml:space="preserve">Señales tempranas</w:t>
      </w:r>
    </w:p>
    <w:p>
      <w:pPr>
        <w:pStyle w:val="ListParagraph"/>
        <w:numPr>
          <w:ilvl w:val="0"/>
          <w:numId w:val="2"/>
        </w:numPr>
        <w:spacing w:after="80" w:before="40" w:line="280"/>
      </w:pPr>
      <w:r>
        <w:rPr>
          <w:rFonts w:ascii="Arial" w:cs="Arial" w:eastAsia="Arial" w:hAnsi="Arial"/>
          <w:color w:val="2D2D2D"/>
          <w:sz w:val="22"/>
          <w:szCs w:val="22"/>
        </w:rPr>
        <w:t xml:space="preserve">Cambios de precio o de términos por parte del proveedor.</w:t>
      </w:r>
    </w:p>
    <w:p>
      <w:pPr>
        <w:pStyle w:val="ListParagraph"/>
        <w:numPr>
          <w:ilvl w:val="0"/>
          <w:numId w:val="2"/>
        </w:numPr>
        <w:spacing w:after="80" w:before="40" w:line="280"/>
      </w:pPr>
      <w:r>
        <w:rPr>
          <w:rFonts w:ascii="Arial" w:cs="Arial" w:eastAsia="Arial" w:hAnsi="Arial"/>
          <w:color w:val="2D2D2D"/>
          <w:sz w:val="22"/>
          <w:szCs w:val="22"/>
        </w:rPr>
        <w:t xml:space="preserve">Deprecación anunciada de modelos o capacidades en uso.</w:t>
      </w:r>
    </w:p>
    <w:p>
      <w:pPr>
        <w:pStyle w:val="ListParagraph"/>
        <w:numPr>
          <w:ilvl w:val="0"/>
          <w:numId w:val="2"/>
        </w:numPr>
        <w:spacing w:after="80" w:before="40" w:line="280"/>
      </w:pPr>
      <w:r>
        <w:rPr>
          <w:rFonts w:ascii="Arial" w:cs="Arial" w:eastAsia="Arial" w:hAnsi="Arial"/>
          <w:color w:val="2D2D2D"/>
          <w:sz w:val="22"/>
          <w:szCs w:val="22"/>
        </w:rPr>
        <w:t xml:space="preserve">Rendimiento del modelo varía con nuevas versiones sin control del cliente.</w:t>
      </w:r>
    </w:p>
    <w:p>
      <w:pPr>
        <w:pStyle w:val="Heading3"/>
        <w:spacing w:after="100" w:before="200"/>
      </w:pPr>
      <w:r>
        <w:rPr>
          <w:rFonts w:ascii="Arial" w:cs="Arial" w:eastAsia="Arial" w:hAnsi="Arial"/>
          <w:b/>
          <w:bCs/>
          <w:color w:val="2E75B6"/>
          <w:sz w:val="24"/>
          <w:szCs w:val="24"/>
        </w:rPr>
        <w:t xml:space="preserve">Controles principales</w:t>
      </w:r>
    </w:p>
    <w:p>
      <w:pPr>
        <w:pStyle w:val="ListParagraph"/>
        <w:numPr>
          <w:ilvl w:val="0"/>
          <w:numId w:val="2"/>
        </w:numPr>
        <w:spacing w:after="80" w:before="40" w:line="280"/>
      </w:pPr>
      <w:r>
        <w:rPr>
          <w:rFonts w:ascii="Arial" w:cs="Arial" w:eastAsia="Arial" w:hAnsi="Arial"/>
          <w:color w:val="2D2D2D"/>
          <w:sz w:val="22"/>
          <w:szCs w:val="22"/>
        </w:rPr>
        <w:t xml:space="preserve">Diseño de arquitectura desacoplada: el modelo es un componente reemplazable.</w:t>
      </w:r>
    </w:p>
    <w:p>
      <w:pPr>
        <w:pStyle w:val="ListParagraph"/>
        <w:numPr>
          <w:ilvl w:val="0"/>
          <w:numId w:val="2"/>
        </w:numPr>
        <w:spacing w:after="80" w:before="40" w:line="280"/>
      </w:pPr>
      <w:r>
        <w:rPr>
          <w:rFonts w:ascii="Arial" w:cs="Arial" w:eastAsia="Arial" w:hAnsi="Arial"/>
          <w:color w:val="2D2D2D"/>
          <w:sz w:val="22"/>
          <w:szCs w:val="22"/>
        </w:rPr>
        <w:t xml:space="preserve">Pruebas regulares con modelos alternativos para tener un plan B activo.</w:t>
      </w:r>
    </w:p>
    <w:p>
      <w:pPr>
        <w:pStyle w:val="ListParagraph"/>
        <w:numPr>
          <w:ilvl w:val="0"/>
          <w:numId w:val="2"/>
        </w:numPr>
        <w:spacing w:after="80" w:before="40" w:line="280"/>
      </w:pPr>
      <w:r>
        <w:rPr>
          <w:rFonts w:ascii="Arial" w:cs="Arial" w:eastAsia="Arial" w:hAnsi="Arial"/>
          <w:color w:val="2D2D2D"/>
          <w:sz w:val="22"/>
          <w:szCs w:val="22"/>
        </w:rPr>
        <w:t xml:space="preserve">Cláusulas contractuales de continuidad y notificación.</w:t>
      </w:r>
    </w:p>
    <w:p>
      <w:pPr>
        <w:pStyle w:val="ListParagraph"/>
        <w:numPr>
          <w:ilvl w:val="0"/>
          <w:numId w:val="2"/>
        </w:numPr>
        <w:spacing w:after="80" w:before="40" w:line="280"/>
      </w:pPr>
      <w:r>
        <w:rPr>
          <w:rFonts w:ascii="Arial" w:cs="Arial" w:eastAsia="Arial" w:hAnsi="Arial"/>
          <w:color w:val="2D2D2D"/>
          <w:sz w:val="22"/>
          <w:szCs w:val="22"/>
        </w:rPr>
        <w:t xml:space="preserve">Caché de respuestas, fine-tuning ligero o auto-alojamiento donde aplique.</w:t>
      </w:r>
    </w:p>
    <w:p>
      <w:pPr>
        <w:pStyle w:val="Heading2"/>
        <w:spacing w:after="160" w:before="320"/>
      </w:pPr>
      <w:r>
        <w:rPr>
          <w:rFonts w:ascii="Arial" w:cs="Arial" w:eastAsia="Arial" w:hAnsi="Arial"/>
          <w:b/>
          <w:bCs/>
          <w:color w:val="1F3A5F"/>
          <w:sz w:val="28"/>
          <w:szCs w:val="28"/>
        </w:rPr>
        <w:t xml:space="preserve">A.5.7  Cómo se gestionan los seis riesgos en conjunto</w:t>
      </w:r>
    </w:p>
    <w:p>
      <w:pPr>
        <w:spacing w:after="120" w:before="60" w:line="300"/>
      </w:pPr>
      <w:r>
        <w:rPr>
          <w:rFonts w:ascii="Arial" w:cs="Arial" w:eastAsia="Arial" w:hAnsi="Arial"/>
          <w:color w:val="2D2D2D"/>
          <w:sz w:val="22"/>
          <w:szCs w:val="22"/>
        </w:rPr>
        <w:t xml:space="preserve">Los riesgos no se gestionan de forma aislada; se integran en una matriz viva del sistema. La matriz se construye en la fase de descubrimiento, se actualiza en cada gate y forma parte de la documentación de gobernanza requerida para el cumplimiento regulatorio. Cada riesgo activo debe tener responsable nombrado, controles activos verificables y métricas de monitoreo en el tablero operativo.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single" w:color="2E75B6" w:sz="1"/>
            </w:tcBorders>
            <w:shd w:fill="F7F9FB" w:val="clear"/>
            <w:tcMar>
              <w:top w:type="dxa" w:w="160"/>
              <w:left w:type="dxa" w:w="200"/>
              <w:bottom w:type="dxa" w:w="160"/>
              <w:right w:type="dxa" w:w="200"/>
            </w:tcMar>
          </w:tcPr>
          <w:p>
            <w:pPr>
              <w:spacing w:after="80" w:before="0"/>
            </w:pPr>
            <w:r>
              <w:rPr>
                <w:rFonts w:ascii="Arial" w:cs="Arial" w:eastAsia="Arial" w:hAnsi="Arial"/>
                <w:b/>
                <w:bCs/>
                <w:color w:val="2E75B6"/>
                <w:sz w:val="22"/>
                <w:szCs w:val="22"/>
              </w:rPr>
              <w:t xml:space="preserve">Riesgos por familia de IA</w:t>
            </w:r>
          </w:p>
          <w:p>
            <w:pPr>
              <w:spacing w:after="0" w:before="0" w:line="280"/>
            </w:pPr>
            <w:r>
              <w:rPr>
                <w:rFonts w:ascii="Arial" w:cs="Arial" w:eastAsia="Arial" w:hAnsi="Arial"/>
                <w:color w:val="2D2D2D"/>
                <w:sz w:val="22"/>
                <w:szCs w:val="22"/>
              </w:rPr>
              <w:t xml:space="preserve">Reglas: dependencia de proveedor (bajo) y mantenimiento de reglas. ML clásico: drift, sesgo y dependencia de proveedor (medio). GenAI: alucinación, fuga de datos, prompt injection y dependencia de proveedor (alto). El perfil cambia la prioridad de los controles, no la lista de riesgos.</w:t>
            </w:r>
          </w:p>
        </w:tc>
      </w:tr>
    </w:tbl>
    <w:p>
      <w:pPr>
        <w:pStyle w:val="Heading1"/>
        <w:pageBreakBefore/>
        <w:spacing w:after="240" w:before="480"/>
      </w:pPr>
      <w:r>
        <w:rPr>
          <w:rFonts w:ascii="Arial" w:cs="Arial" w:eastAsia="Arial" w:hAnsi="Arial"/>
          <w:b/>
          <w:bCs/>
          <w:color w:val="1F3A5F"/>
          <w:sz w:val="36"/>
          <w:szCs w:val="36"/>
        </w:rPr>
        <w:t xml:space="preserve">A.6  Métricas operativas</w:t>
      </w:r>
    </w:p>
    <w:p>
      <w:pPr>
        <w:spacing w:after="180" w:before="120" w:line="320"/>
      </w:pPr>
      <w:r>
        <w:rPr>
          <w:rFonts w:ascii="Arial" w:cs="Arial" w:eastAsia="Arial" w:hAnsi="Arial"/>
          <w:color w:val="2D2D2D"/>
          <w:sz w:val="24"/>
          <w:szCs w:val="24"/>
        </w:rPr>
        <w:t xml:space="preserve">Un sistema de IA en producción se monitorea con cuatro categorías de métricas. Faltar una de ellas equivale a operar a ciegas en una dimensión clave.</w:t>
      </w:r>
    </w:p>
    <w:p>
      <w:pPr>
        <w:pStyle w:val="Heading2"/>
        <w:spacing w:after="160" w:before="320"/>
      </w:pPr>
      <w:r>
        <w:rPr>
          <w:rFonts w:ascii="Arial" w:cs="Arial" w:eastAsia="Arial" w:hAnsi="Arial"/>
          <w:b/>
          <w:bCs/>
          <w:color w:val="1F3A5F"/>
          <w:sz w:val="28"/>
          <w:szCs w:val="28"/>
        </w:rPr>
        <w:t xml:space="preserve">A.6.1  Las cuatro categorías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252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Categoría</w:t>
            </w:r>
          </w:p>
        </w:tc>
        <w:tc>
          <w:tcPr>
            <w:tcW w:type="dxa" w:w="684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Métricas típicas</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Técnicas (infraestructura)</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Latencia P50/P95/P99, throughput, tasa de error, disponibilidad, costo por consulta, consumo de tokens (en GenAI).</w:t>
            </w:r>
          </w:p>
        </w:tc>
      </w:tr>
      <w:tr>
        <w:trPr>
          <w:tblHeader w:val="false"/>
        </w:trPr>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De modelo</w:t>
            </w:r>
          </w:p>
        </w:tc>
        <w:tc>
          <w:tcPr>
            <w:tcW w:type="dxa" w:w="68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Precisión, recall, F1, AUC, calibración, drift de entrada y de salida, fairness por grupo, tasa de "no sé" en GenAI, tasa de fallback.</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De uso (adopción)</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Penetración (usuarios activos / usuarios objetivo), frecuencia de uso, retención, NPS interno, tasa de override humano, tasa de fallback a vía manual. (Detalle en Parte B.)</w:t>
            </w:r>
          </w:p>
        </w:tc>
      </w:tr>
      <w:tr>
        <w:trPr>
          <w:tblHeader w:val="false"/>
        </w:trPr>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De valor (impacto de negocio)</w:t>
            </w:r>
          </w:p>
        </w:tc>
        <w:tc>
          <w:tcPr>
            <w:tcW w:type="dxa" w:w="68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Métricas vinculadas al caso de negocio: tiempo ahorrado, costo evitado, ingreso incremental, satisfacción de cliente, tasa de error reducida. Trazables al supuesto del business case.</w:t>
            </w:r>
          </w:p>
        </w:tc>
      </w:tr>
    </w:tbl>
    <w:p>
      <w:pPr>
        <w:spacing w:after="0" w:before="240"/>
      </w:pPr>
      <w:r>
        <w:rPr>
          <w:rFonts w:ascii="Arial" w:cs="Arial" w:eastAsia="Arial" w:hAnsi="Arial"/>
        </w:rPr>
        <w:t xml:space="preserve"/>
      </w:r>
    </w:p>
    <w:p>
      <w:pPr>
        <w:pStyle w:val="Heading2"/>
        <w:spacing w:after="160" w:before="320"/>
      </w:pPr>
      <w:r>
        <w:rPr>
          <w:rFonts w:ascii="Arial" w:cs="Arial" w:eastAsia="Arial" w:hAnsi="Arial"/>
          <w:b/>
          <w:bCs/>
          <w:color w:val="1F3A5F"/>
          <w:sz w:val="28"/>
          <w:szCs w:val="28"/>
        </w:rPr>
        <w:t xml:space="preserve">A.6.2  Reglas de operación de las métricas</w:t>
      </w:r>
    </w:p>
    <w:p>
      <w:pPr>
        <w:pStyle w:val="ListParagraph"/>
        <w:numPr>
          <w:ilvl w:val="0"/>
          <w:numId w:val="2"/>
        </w:numPr>
        <w:spacing w:after="80" w:before="40" w:line="280"/>
      </w:pPr>
      <w:r>
        <w:rPr>
          <w:rFonts w:ascii="Arial" w:cs="Arial" w:eastAsia="Arial" w:hAnsi="Arial"/>
          <w:b/>
          <w:bCs/>
        </w:rPr>
        <w:t xml:space="preserve">Tablero único: </w:t>
      </w:r>
      <w:r>
        <w:rPr>
          <w:rFonts w:ascii="Arial" w:cs="Arial" w:eastAsia="Arial" w:hAnsi="Arial"/>
          <w:color w:val="2D2D2D"/>
          <w:sz w:val="22"/>
          <w:szCs w:val="22"/>
        </w:rPr>
        <w:t xml:space="preserve">las cuatro categorías deben verse en un mismo lugar; segmentar tableros por audiencia, no por categoría.</w:t>
      </w:r>
    </w:p>
    <w:p>
      <w:pPr>
        <w:pStyle w:val="ListParagraph"/>
        <w:numPr>
          <w:ilvl w:val="0"/>
          <w:numId w:val="2"/>
        </w:numPr>
        <w:spacing w:after="80" w:before="40" w:line="280"/>
      </w:pPr>
      <w:r>
        <w:rPr>
          <w:rFonts w:ascii="Arial" w:cs="Arial" w:eastAsia="Arial" w:hAnsi="Arial"/>
          <w:b/>
          <w:bCs/>
        </w:rPr>
        <w:t xml:space="preserve">Umbrales y alarmas: </w:t>
      </w:r>
      <w:r>
        <w:rPr>
          <w:rFonts w:ascii="Arial" w:cs="Arial" w:eastAsia="Arial" w:hAnsi="Arial"/>
          <w:color w:val="2D2D2D"/>
          <w:sz w:val="22"/>
          <w:szCs w:val="22"/>
        </w:rPr>
        <w:t xml:space="preserve">cada métrica clave tiene un umbral verde, un umbral ámbar (acción humana en 24h) y un umbral rojo (acción inmediata).</w:t>
      </w:r>
    </w:p>
    <w:p>
      <w:pPr>
        <w:pStyle w:val="ListParagraph"/>
        <w:numPr>
          <w:ilvl w:val="0"/>
          <w:numId w:val="2"/>
        </w:numPr>
        <w:spacing w:after="80" w:before="40" w:line="280"/>
      </w:pPr>
      <w:r>
        <w:rPr>
          <w:rFonts w:ascii="Arial" w:cs="Arial" w:eastAsia="Arial" w:hAnsi="Arial"/>
          <w:b/>
          <w:bCs/>
        </w:rPr>
        <w:t xml:space="preserve">Revisión periódica: </w:t>
      </w:r>
      <w:r>
        <w:rPr>
          <w:rFonts w:ascii="Arial" w:cs="Arial" w:eastAsia="Arial" w:hAnsi="Arial"/>
          <w:color w:val="2D2D2D"/>
          <w:sz w:val="22"/>
          <w:szCs w:val="22"/>
        </w:rPr>
        <w:t xml:space="preserve">revisión semanal operativa, mensual de salud del sistema, trimestral del modelo, anual del caso de negocio.</w:t>
      </w:r>
    </w:p>
    <w:p>
      <w:pPr>
        <w:pStyle w:val="ListParagraph"/>
        <w:numPr>
          <w:ilvl w:val="0"/>
          <w:numId w:val="2"/>
        </w:numPr>
        <w:spacing w:after="80" w:before="40" w:line="280"/>
      </w:pPr>
      <w:r>
        <w:rPr>
          <w:rFonts w:ascii="Arial" w:cs="Arial" w:eastAsia="Arial" w:hAnsi="Arial"/>
          <w:b/>
          <w:bCs/>
        </w:rPr>
        <w:t xml:space="preserve">Trazabilidad por decisión: </w:t>
      </w:r>
      <w:r>
        <w:rPr>
          <w:rFonts w:ascii="Arial" w:cs="Arial" w:eastAsia="Arial" w:hAnsi="Arial"/>
          <w:color w:val="2D2D2D"/>
          <w:sz w:val="22"/>
          <w:szCs w:val="22"/>
        </w:rPr>
        <w:t xml:space="preserve">la capacidad de reconstruir, para cualquier decisión emitida por el sistema, qué entrada se procesó y qué versión del modelo respondió. Es exigencia regulatoria, no opcional.</w:t>
      </w:r>
    </w:p>
    <w:p>
      <w:pPr>
        <w:pStyle w:val="Heading1"/>
        <w:pageBreakBefore/>
        <w:spacing w:after="240" w:before="480"/>
      </w:pPr>
      <w:r>
        <w:rPr>
          <w:rFonts w:ascii="Arial" w:cs="Arial" w:eastAsia="Arial" w:hAnsi="Arial"/>
          <w:b/>
          <w:bCs/>
          <w:color w:val="1F3A5F"/>
          <w:sz w:val="36"/>
          <w:szCs w:val="36"/>
        </w:rPr>
        <w:t xml:space="preserve">A.7  RACI técnico de la solución</w:t>
      </w:r>
    </w:p>
    <w:p>
      <w:pPr>
        <w:spacing w:after="180" w:before="120" w:line="320"/>
      </w:pPr>
      <w:r>
        <w:rPr>
          <w:rFonts w:ascii="Arial" w:cs="Arial" w:eastAsia="Arial" w:hAnsi="Arial"/>
          <w:color w:val="2D2D2D"/>
          <w:sz w:val="24"/>
          <w:szCs w:val="24"/>
        </w:rPr>
        <w:t xml:space="preserve">Roles típicos involucrados en la implementación y operación. La asignación concreta depende del tamaño y madurez del cliente; el principio es que cada actividad tenga un único responsable identificable.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80"/>
        <w:gridCol w:w="1380"/>
        <w:gridCol w:w="1380"/>
        <w:gridCol w:w="1380"/>
        <w:gridCol w:w="1440"/>
      </w:tblGrid>
      <w:tr>
        <w:trPr>
          <w:tblHeader/>
        </w:trPr>
        <w:tc>
          <w:tcPr>
            <w:tcW w:type="dxa" w:w="240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Actividad</w:t>
            </w:r>
          </w:p>
        </w:tc>
        <w:tc>
          <w:tcPr>
            <w:tcW w:type="dxa" w:w="138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Sponsor</w:t>
            </w:r>
          </w:p>
        </w:tc>
        <w:tc>
          <w:tcPr>
            <w:tcW w:type="dxa" w:w="138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Líder técnico</w:t>
            </w:r>
          </w:p>
        </w:tc>
        <w:tc>
          <w:tcPr>
            <w:tcW w:type="dxa" w:w="138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Datos</w:t>
            </w:r>
          </w:p>
        </w:tc>
        <w:tc>
          <w:tcPr>
            <w:tcW w:type="dxa" w:w="138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Operación</w:t>
            </w:r>
          </w:p>
        </w:tc>
        <w:tc>
          <w:tcPr>
            <w:tcW w:type="dxa" w:w="144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Riesgo / Legal</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2D2D2D"/>
                <w:sz w:val="20"/>
                <w:szCs w:val="20"/>
              </w:rPr>
              <w:t xml:space="preserve">Definir problema y caso de negocio</w:t>
            </w:r>
          </w:p>
        </w:tc>
        <w:tc>
          <w:tcPr>
            <w:tcW w:type="dxa" w:w="1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center"/>
            </w:pPr>
            <w:r>
              <w:rPr>
                <w:rFonts w:ascii="Arial" w:cs="Arial" w:eastAsia="Arial" w:hAnsi="Arial"/>
                <w:b/>
                <w:bCs/>
                <w:color w:val="1F3A5F"/>
                <w:sz w:val="20"/>
                <w:szCs w:val="20"/>
              </w:rPr>
              <w:t xml:space="preserve">A</w:t>
            </w:r>
          </w:p>
        </w:tc>
        <w:tc>
          <w:tcPr>
            <w:tcW w:type="dxa" w:w="1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center"/>
            </w:pPr>
            <w:r>
              <w:rPr>
                <w:rFonts w:ascii="Arial" w:cs="Arial" w:eastAsia="Arial" w:hAnsi="Arial"/>
                <w:color w:val="2D2D2D"/>
                <w:sz w:val="20"/>
                <w:szCs w:val="20"/>
              </w:rPr>
              <w:t xml:space="preserve">C</w:t>
            </w:r>
          </w:p>
        </w:tc>
        <w:tc>
          <w:tcPr>
            <w:tcW w:type="dxa" w:w="1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center"/>
            </w:pPr>
            <w:r>
              <w:rPr>
                <w:rFonts w:ascii="Arial" w:cs="Arial" w:eastAsia="Arial" w:hAnsi="Arial"/>
                <w:color w:val="2D2D2D"/>
                <w:sz w:val="20"/>
                <w:szCs w:val="20"/>
              </w:rPr>
              <w:t xml:space="preserve">C</w:t>
            </w:r>
          </w:p>
        </w:tc>
        <w:tc>
          <w:tcPr>
            <w:tcW w:type="dxa" w:w="1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center"/>
            </w:pPr>
            <w:r>
              <w:rPr>
                <w:rFonts w:ascii="Arial" w:cs="Arial" w:eastAsia="Arial" w:hAnsi="Arial"/>
                <w:color w:val="2D2D2D"/>
                <w:sz w:val="20"/>
                <w:szCs w:val="20"/>
              </w:rPr>
              <w:t xml:space="preserve">I</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center"/>
            </w:pPr>
            <w:r>
              <w:rPr>
                <w:rFonts w:ascii="Arial" w:cs="Arial" w:eastAsia="Arial" w:hAnsi="Arial"/>
                <w:color w:val="2D2D2D"/>
                <w:sz w:val="20"/>
                <w:szCs w:val="20"/>
              </w:rPr>
              <w:t xml:space="preserve">I</w:t>
            </w:r>
          </w:p>
        </w:tc>
      </w:tr>
      <w:tr>
        <w:trPr>
          <w:tblHeader w:val="false"/>
        </w:trPr>
        <w:tc>
          <w:tcPr>
            <w:tcW w:type="dxa" w:w="24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2D2D2D"/>
                <w:sz w:val="20"/>
                <w:szCs w:val="20"/>
              </w:rPr>
              <w:t xml:space="preserve">Construir y validar el modelo</w:t>
            </w:r>
          </w:p>
        </w:tc>
        <w:tc>
          <w:tcPr>
            <w:tcW w:type="dxa" w:w="13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center"/>
            </w:pPr>
            <w:r>
              <w:rPr>
                <w:rFonts w:ascii="Arial" w:cs="Arial" w:eastAsia="Arial" w:hAnsi="Arial"/>
                <w:color w:val="2D2D2D"/>
                <w:sz w:val="20"/>
                <w:szCs w:val="20"/>
              </w:rPr>
              <w:t xml:space="preserve">I</w:t>
            </w:r>
          </w:p>
        </w:tc>
        <w:tc>
          <w:tcPr>
            <w:tcW w:type="dxa" w:w="13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center"/>
            </w:pPr>
            <w:r>
              <w:rPr>
                <w:rFonts w:ascii="Arial" w:cs="Arial" w:eastAsia="Arial" w:hAnsi="Arial"/>
                <w:b/>
                <w:bCs/>
                <w:color w:val="1F3A5F"/>
                <w:sz w:val="20"/>
                <w:szCs w:val="20"/>
              </w:rPr>
              <w:t xml:space="preserve">R</w:t>
            </w:r>
          </w:p>
        </w:tc>
        <w:tc>
          <w:tcPr>
            <w:tcW w:type="dxa" w:w="13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center"/>
            </w:pPr>
            <w:r>
              <w:rPr>
                <w:rFonts w:ascii="Arial" w:cs="Arial" w:eastAsia="Arial" w:hAnsi="Arial"/>
                <w:color w:val="2D2D2D"/>
                <w:sz w:val="20"/>
                <w:szCs w:val="20"/>
              </w:rPr>
              <w:t xml:space="preserve">C</w:t>
            </w:r>
          </w:p>
        </w:tc>
        <w:tc>
          <w:tcPr>
            <w:tcW w:type="dxa" w:w="13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center"/>
            </w:pPr>
            <w:r>
              <w:rPr>
                <w:rFonts w:ascii="Arial" w:cs="Arial" w:eastAsia="Arial" w:hAnsi="Arial"/>
                <w:color w:val="2D2D2D"/>
                <w:sz w:val="20"/>
                <w:szCs w:val="20"/>
              </w:rPr>
              <w:t xml:space="preserve">C</w:t>
            </w:r>
          </w:p>
        </w:tc>
        <w:tc>
          <w:tcPr>
            <w:tcW w:type="dxa" w:w="14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center"/>
            </w:pPr>
            <w:r>
              <w:rPr>
                <w:rFonts w:ascii="Arial" w:cs="Arial" w:eastAsia="Arial" w:hAnsi="Arial"/>
                <w:color w:val="2D2D2D"/>
                <w:sz w:val="20"/>
                <w:szCs w:val="20"/>
              </w:rPr>
              <w:t xml:space="preserve">C</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2D2D2D"/>
                <w:sz w:val="20"/>
                <w:szCs w:val="20"/>
              </w:rPr>
              <w:t xml:space="preserve">Garantizar calidad y disponibilidad de datos</w:t>
            </w:r>
          </w:p>
        </w:tc>
        <w:tc>
          <w:tcPr>
            <w:tcW w:type="dxa" w:w="1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center"/>
            </w:pPr>
            <w:r>
              <w:rPr>
                <w:rFonts w:ascii="Arial" w:cs="Arial" w:eastAsia="Arial" w:hAnsi="Arial"/>
                <w:color w:val="2D2D2D"/>
                <w:sz w:val="20"/>
                <w:szCs w:val="20"/>
              </w:rPr>
              <w:t xml:space="preserve">I</w:t>
            </w:r>
          </w:p>
        </w:tc>
        <w:tc>
          <w:tcPr>
            <w:tcW w:type="dxa" w:w="1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center"/>
            </w:pPr>
            <w:r>
              <w:rPr>
                <w:rFonts w:ascii="Arial" w:cs="Arial" w:eastAsia="Arial" w:hAnsi="Arial"/>
                <w:color w:val="2D2D2D"/>
                <w:sz w:val="20"/>
                <w:szCs w:val="20"/>
              </w:rPr>
              <w:t xml:space="preserve">C</w:t>
            </w:r>
          </w:p>
        </w:tc>
        <w:tc>
          <w:tcPr>
            <w:tcW w:type="dxa" w:w="1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center"/>
            </w:pPr>
            <w:r>
              <w:rPr>
                <w:rFonts w:ascii="Arial" w:cs="Arial" w:eastAsia="Arial" w:hAnsi="Arial"/>
                <w:b/>
                <w:bCs/>
                <w:color w:val="1F3A5F"/>
                <w:sz w:val="20"/>
                <w:szCs w:val="20"/>
              </w:rPr>
              <w:t xml:space="preserve">R</w:t>
            </w:r>
          </w:p>
        </w:tc>
        <w:tc>
          <w:tcPr>
            <w:tcW w:type="dxa" w:w="1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center"/>
            </w:pPr>
            <w:r>
              <w:rPr>
                <w:rFonts w:ascii="Arial" w:cs="Arial" w:eastAsia="Arial" w:hAnsi="Arial"/>
                <w:color w:val="2D2D2D"/>
                <w:sz w:val="20"/>
                <w:szCs w:val="20"/>
              </w:rPr>
              <w:t xml:space="preserve">I</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center"/>
            </w:pPr>
            <w:r>
              <w:rPr>
                <w:rFonts w:ascii="Arial" w:cs="Arial" w:eastAsia="Arial" w:hAnsi="Arial"/>
                <w:color w:val="2D2D2D"/>
                <w:sz w:val="20"/>
                <w:szCs w:val="20"/>
              </w:rPr>
              <w:t xml:space="preserve">C</w:t>
            </w:r>
          </w:p>
        </w:tc>
      </w:tr>
      <w:tr>
        <w:trPr>
          <w:tblHeader w:val="false"/>
        </w:trPr>
        <w:tc>
          <w:tcPr>
            <w:tcW w:type="dxa" w:w="24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2D2D2D"/>
                <w:sz w:val="20"/>
                <w:szCs w:val="20"/>
              </w:rPr>
              <w:t xml:space="preserve">Desplegar y operar en producción</w:t>
            </w:r>
          </w:p>
        </w:tc>
        <w:tc>
          <w:tcPr>
            <w:tcW w:type="dxa" w:w="13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center"/>
            </w:pPr>
            <w:r>
              <w:rPr>
                <w:rFonts w:ascii="Arial" w:cs="Arial" w:eastAsia="Arial" w:hAnsi="Arial"/>
                <w:color w:val="2D2D2D"/>
                <w:sz w:val="20"/>
                <w:szCs w:val="20"/>
              </w:rPr>
              <w:t xml:space="preserve">I</w:t>
            </w:r>
          </w:p>
        </w:tc>
        <w:tc>
          <w:tcPr>
            <w:tcW w:type="dxa" w:w="13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center"/>
            </w:pPr>
            <w:r>
              <w:rPr>
                <w:rFonts w:ascii="Arial" w:cs="Arial" w:eastAsia="Arial" w:hAnsi="Arial"/>
                <w:color w:val="2D2D2D"/>
                <w:sz w:val="20"/>
                <w:szCs w:val="20"/>
              </w:rPr>
              <w:t xml:space="preserve">C</w:t>
            </w:r>
          </w:p>
        </w:tc>
        <w:tc>
          <w:tcPr>
            <w:tcW w:type="dxa" w:w="13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center"/>
            </w:pPr>
            <w:r>
              <w:rPr>
                <w:rFonts w:ascii="Arial" w:cs="Arial" w:eastAsia="Arial" w:hAnsi="Arial"/>
                <w:color w:val="2D2D2D"/>
                <w:sz w:val="20"/>
                <w:szCs w:val="20"/>
              </w:rPr>
              <w:t xml:space="preserve">C</w:t>
            </w:r>
          </w:p>
        </w:tc>
        <w:tc>
          <w:tcPr>
            <w:tcW w:type="dxa" w:w="13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center"/>
            </w:pPr>
            <w:r>
              <w:rPr>
                <w:rFonts w:ascii="Arial" w:cs="Arial" w:eastAsia="Arial" w:hAnsi="Arial"/>
                <w:b/>
                <w:bCs/>
                <w:color w:val="1F3A5F"/>
                <w:sz w:val="20"/>
                <w:szCs w:val="20"/>
              </w:rPr>
              <w:t xml:space="preserve">R</w:t>
            </w:r>
          </w:p>
        </w:tc>
        <w:tc>
          <w:tcPr>
            <w:tcW w:type="dxa" w:w="14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center"/>
            </w:pPr>
            <w:r>
              <w:rPr>
                <w:rFonts w:ascii="Arial" w:cs="Arial" w:eastAsia="Arial" w:hAnsi="Arial"/>
                <w:color w:val="2D2D2D"/>
                <w:sz w:val="20"/>
                <w:szCs w:val="20"/>
              </w:rPr>
              <w:t xml:space="preserve">I</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2D2D2D"/>
                <w:sz w:val="20"/>
                <w:szCs w:val="20"/>
              </w:rPr>
              <w:t xml:space="preserve">Aprobar gates y gestionar riesgos</w:t>
            </w:r>
          </w:p>
        </w:tc>
        <w:tc>
          <w:tcPr>
            <w:tcW w:type="dxa" w:w="1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center"/>
            </w:pPr>
            <w:r>
              <w:rPr>
                <w:rFonts w:ascii="Arial" w:cs="Arial" w:eastAsia="Arial" w:hAnsi="Arial"/>
                <w:b/>
                <w:bCs/>
                <w:color w:val="1F3A5F"/>
                <w:sz w:val="20"/>
                <w:szCs w:val="20"/>
              </w:rPr>
              <w:t xml:space="preserve">A</w:t>
            </w:r>
          </w:p>
        </w:tc>
        <w:tc>
          <w:tcPr>
            <w:tcW w:type="dxa" w:w="1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center"/>
            </w:pPr>
            <w:r>
              <w:rPr>
                <w:rFonts w:ascii="Arial" w:cs="Arial" w:eastAsia="Arial" w:hAnsi="Arial"/>
                <w:color w:val="2D2D2D"/>
                <w:sz w:val="20"/>
                <w:szCs w:val="20"/>
              </w:rPr>
              <w:t xml:space="preserve">C</w:t>
            </w:r>
          </w:p>
        </w:tc>
        <w:tc>
          <w:tcPr>
            <w:tcW w:type="dxa" w:w="1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center"/>
            </w:pPr>
            <w:r>
              <w:rPr>
                <w:rFonts w:ascii="Arial" w:cs="Arial" w:eastAsia="Arial" w:hAnsi="Arial"/>
                <w:color w:val="2D2D2D"/>
                <w:sz w:val="20"/>
                <w:szCs w:val="20"/>
              </w:rPr>
              <w:t xml:space="preserve">I</w:t>
            </w:r>
          </w:p>
        </w:tc>
        <w:tc>
          <w:tcPr>
            <w:tcW w:type="dxa" w:w="1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center"/>
            </w:pPr>
            <w:r>
              <w:rPr>
                <w:rFonts w:ascii="Arial" w:cs="Arial" w:eastAsia="Arial" w:hAnsi="Arial"/>
                <w:color w:val="2D2D2D"/>
                <w:sz w:val="20"/>
                <w:szCs w:val="20"/>
              </w:rPr>
              <w:t xml:space="preserve">I</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center"/>
            </w:pPr>
            <w:r>
              <w:rPr>
                <w:rFonts w:ascii="Arial" w:cs="Arial" w:eastAsia="Arial" w:hAnsi="Arial"/>
                <w:b/>
                <w:bCs/>
                <w:color w:val="1F3A5F"/>
                <w:sz w:val="20"/>
                <w:szCs w:val="20"/>
              </w:rPr>
              <w:t xml:space="preserve">R</w:t>
            </w:r>
          </w:p>
        </w:tc>
      </w:tr>
      <w:tr>
        <w:trPr>
          <w:tblHeader w:val="false"/>
        </w:trPr>
        <w:tc>
          <w:tcPr>
            <w:tcW w:type="dxa" w:w="24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2D2D2D"/>
                <w:sz w:val="20"/>
                <w:szCs w:val="20"/>
              </w:rPr>
              <w:t xml:space="preserve">Mantener gobernanza y cumplimiento</w:t>
            </w:r>
          </w:p>
        </w:tc>
        <w:tc>
          <w:tcPr>
            <w:tcW w:type="dxa" w:w="13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center"/>
            </w:pPr>
            <w:r>
              <w:rPr>
                <w:rFonts w:ascii="Arial" w:cs="Arial" w:eastAsia="Arial" w:hAnsi="Arial"/>
                <w:b/>
                <w:bCs/>
                <w:color w:val="1F3A5F"/>
                <w:sz w:val="20"/>
                <w:szCs w:val="20"/>
              </w:rPr>
              <w:t xml:space="preserve">A</w:t>
            </w:r>
          </w:p>
        </w:tc>
        <w:tc>
          <w:tcPr>
            <w:tcW w:type="dxa" w:w="13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center"/>
            </w:pPr>
            <w:r>
              <w:rPr>
                <w:rFonts w:ascii="Arial" w:cs="Arial" w:eastAsia="Arial" w:hAnsi="Arial"/>
                <w:color w:val="2D2D2D"/>
                <w:sz w:val="20"/>
                <w:szCs w:val="20"/>
              </w:rPr>
              <w:t xml:space="preserve">C</w:t>
            </w:r>
          </w:p>
        </w:tc>
        <w:tc>
          <w:tcPr>
            <w:tcW w:type="dxa" w:w="13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center"/>
            </w:pPr>
            <w:r>
              <w:rPr>
                <w:rFonts w:ascii="Arial" w:cs="Arial" w:eastAsia="Arial" w:hAnsi="Arial"/>
                <w:color w:val="2D2D2D"/>
                <w:sz w:val="20"/>
                <w:szCs w:val="20"/>
              </w:rPr>
              <w:t xml:space="preserve">C</w:t>
            </w:r>
          </w:p>
        </w:tc>
        <w:tc>
          <w:tcPr>
            <w:tcW w:type="dxa" w:w="13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center"/>
            </w:pPr>
            <w:r>
              <w:rPr>
                <w:rFonts w:ascii="Arial" w:cs="Arial" w:eastAsia="Arial" w:hAnsi="Arial"/>
                <w:color w:val="2D2D2D"/>
                <w:sz w:val="20"/>
                <w:szCs w:val="20"/>
              </w:rPr>
              <w:t xml:space="preserve">C</w:t>
            </w:r>
          </w:p>
        </w:tc>
        <w:tc>
          <w:tcPr>
            <w:tcW w:type="dxa" w:w="14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center"/>
            </w:pPr>
            <w:r>
              <w:rPr>
                <w:rFonts w:ascii="Arial" w:cs="Arial" w:eastAsia="Arial" w:hAnsi="Arial"/>
                <w:b/>
                <w:bCs/>
                <w:color w:val="1F3A5F"/>
                <w:sz w:val="20"/>
                <w:szCs w:val="20"/>
              </w:rPr>
              <w:t xml:space="preserve">R</w:t>
            </w:r>
          </w:p>
        </w:tc>
      </w:tr>
    </w:tbl>
    <w:p>
      <w:pPr>
        <w:spacing w:after="0" w:before="200"/>
      </w:pPr>
      <w:r>
        <w:rPr>
          <w:rFonts w:ascii="Arial" w:cs="Arial" w:eastAsia="Arial" w:hAnsi="Arial"/>
        </w:rPr>
        <w:t xml:space="preserve"/>
      </w:r>
    </w:p>
    <w:p>
      <w:pPr>
        <w:spacing w:after="120" w:before="60" w:line="300"/>
      </w:pPr>
      <w:r>
        <w:rPr>
          <w:rFonts w:ascii="Arial" w:cs="Arial" w:eastAsia="Arial" w:hAnsi="Arial"/>
          <w:color w:val="2D2D2D"/>
          <w:sz w:val="22"/>
          <w:szCs w:val="22"/>
        </w:rPr>
        <w:t xml:space="preserve">R = Responsable de ejecutar; A = Aprobador final; C = Consultado; I = Informado. La adaptación al contexto del cliente debe preservar dos principios: una sola A por actividad, y la A nunca cae en el mismo perfil que la R.</w:t>
      </w:r>
    </w:p>
    <w:p>
      <w:pPr>
        <w:pStyle w:val="Heading1"/>
        <w:pageBreakBefore/>
        <w:spacing w:after="240" w:before="480"/>
      </w:pPr>
      <w:r>
        <w:rPr>
          <w:rFonts w:ascii="Arial" w:cs="Arial" w:eastAsia="Arial" w:hAnsi="Arial"/>
          <w:b/>
          <w:bCs/>
          <w:color w:val="1F3A5F"/>
          <w:sz w:val="36"/>
          <w:szCs w:val="36"/>
        </w:rPr>
        <w:t xml:space="preserve">A.8  Gobernanza de modelos en producción</w:t>
      </w:r>
    </w:p>
    <w:p>
      <w:pPr>
        <w:spacing w:after="180" w:before="120" w:line="320"/>
      </w:pPr>
      <w:r>
        <w:rPr>
          <w:rFonts w:ascii="Arial" w:cs="Arial" w:eastAsia="Arial" w:hAnsi="Arial"/>
          <w:color w:val="2D2D2D"/>
          <w:sz w:val="24"/>
          <w:szCs w:val="24"/>
        </w:rPr>
        <w:t xml:space="preserve">La gobernanza no es un manual; es un conjunto de prácticas vivas que garantizan que el sistema sigue siendo correcto, seguro y útil en el tiempo. Los cuatro elementos mínimos que toda solución de IA en producción debe tener.</w:t>
      </w:r>
    </w:p>
    <w:p>
      <w:pPr>
        <w:pStyle w:val="Heading2"/>
        <w:spacing w:after="160" w:before="320"/>
      </w:pPr>
      <w:r>
        <w:rPr>
          <w:rFonts w:ascii="Arial" w:cs="Arial" w:eastAsia="Arial" w:hAnsi="Arial"/>
          <w:b/>
          <w:bCs/>
          <w:color w:val="1F3A5F"/>
          <w:sz w:val="28"/>
          <w:szCs w:val="28"/>
        </w:rPr>
        <w:t xml:space="preserve">A.8.1  Inventario de modelos</w:t>
      </w:r>
    </w:p>
    <w:p>
      <w:pPr>
        <w:spacing w:after="120" w:before="60" w:line="300"/>
      </w:pPr>
      <w:r>
        <w:rPr>
          <w:rFonts w:ascii="Arial" w:cs="Arial" w:eastAsia="Arial" w:hAnsi="Arial"/>
          <w:color w:val="2D2D2D"/>
          <w:sz w:val="22"/>
          <w:szCs w:val="22"/>
        </w:rPr>
        <w:t xml:space="preserve">Registro único, vivo, accesible, de todos los modelos en producción. Para cada modelo: nombre, versión, propósito, dueño, datos que consume, sistemas que afecta, fecha de despliegue, fecha de última revisión, métricas clave, riesgos identificados y plan de retiro. Sin inventario, no hay gobernanza posible.</w:t>
      </w:r>
    </w:p>
    <w:p>
      <w:pPr>
        <w:pStyle w:val="Heading2"/>
        <w:spacing w:after="160" w:before="320"/>
      </w:pPr>
      <w:r>
        <w:rPr>
          <w:rFonts w:ascii="Arial" w:cs="Arial" w:eastAsia="Arial" w:hAnsi="Arial"/>
          <w:b/>
          <w:bCs/>
          <w:color w:val="1F3A5F"/>
          <w:sz w:val="28"/>
          <w:szCs w:val="28"/>
        </w:rPr>
        <w:t xml:space="preserve">A.8.2  Política de versionado y reentrenamiento</w:t>
      </w:r>
    </w:p>
    <w:p>
      <w:pPr>
        <w:spacing w:after="120" w:before="60" w:line="300"/>
      </w:pPr>
      <w:r>
        <w:rPr>
          <w:rFonts w:ascii="Arial" w:cs="Arial" w:eastAsia="Arial" w:hAnsi="Arial"/>
          <w:color w:val="2D2D2D"/>
          <w:sz w:val="22"/>
          <w:szCs w:val="22"/>
        </w:rPr>
        <w:t xml:space="preserve">Cada modelo tiene política explícita: con qué frecuencia se reevalúa, bajo qué criterios se reentrena, quién aprueba el paso de una versión a producción y cómo se hace el rollback. Las políticas se diferencian por familia: reglas requieren gobierno de cambios; ML clásico requiere reentrenamiento periódico; GenAI requiere monitoreo de versiones del proveedor.</w:t>
      </w:r>
    </w:p>
    <w:p>
      <w:pPr>
        <w:pStyle w:val="Heading2"/>
        <w:spacing w:after="160" w:before="320"/>
      </w:pPr>
      <w:r>
        <w:rPr>
          <w:rFonts w:ascii="Arial" w:cs="Arial" w:eastAsia="Arial" w:hAnsi="Arial"/>
          <w:b/>
          <w:bCs/>
          <w:color w:val="1F3A5F"/>
          <w:sz w:val="28"/>
          <w:szCs w:val="28"/>
        </w:rPr>
        <w:t xml:space="preserve">A.8.3  Comité de IA</w:t>
      </w:r>
    </w:p>
    <w:p>
      <w:pPr>
        <w:spacing w:after="120" w:before="60" w:line="300"/>
      </w:pPr>
      <w:r>
        <w:rPr>
          <w:rFonts w:ascii="Arial" w:cs="Arial" w:eastAsia="Arial" w:hAnsi="Arial"/>
          <w:color w:val="2D2D2D"/>
          <w:sz w:val="22"/>
          <w:szCs w:val="22"/>
        </w:rPr>
        <w:t xml:space="preserve">Foro periódico (mensual o bimensual) que revisa el portafolio de modelos en producción, los incidentes, los riesgos emergentes y las solicitudes de cambio significativo. Composición típica: sponsor de IA, líder técnico de IA, riesgo, legal, seguridad, áreas de negocio dueñas de soluciones. El comité es la instancia donde se ejecuta el gate G5 (renovar o desactivar).</w:t>
      </w:r>
    </w:p>
    <w:p>
      <w:pPr>
        <w:pStyle w:val="Heading2"/>
        <w:spacing w:after="160" w:before="320"/>
      </w:pPr>
      <w:r>
        <w:rPr>
          <w:rFonts w:ascii="Arial" w:cs="Arial" w:eastAsia="Arial" w:hAnsi="Arial"/>
          <w:b/>
          <w:bCs/>
          <w:color w:val="1F3A5F"/>
          <w:sz w:val="28"/>
          <w:szCs w:val="28"/>
        </w:rPr>
        <w:t xml:space="preserve">A.8.4  Documentación de modelos (model cards)</w:t>
      </w:r>
    </w:p>
    <w:p>
      <w:pPr>
        <w:spacing w:after="120" w:before="60" w:line="300"/>
      </w:pPr>
      <w:r>
        <w:rPr>
          <w:rFonts w:ascii="Arial" w:cs="Arial" w:eastAsia="Arial" w:hAnsi="Arial"/>
          <w:color w:val="2D2D2D"/>
          <w:sz w:val="22"/>
          <w:szCs w:val="22"/>
        </w:rPr>
        <w:t xml:space="preserve">Cada modelo cuenta con un documento estandarizado que describe: qué hace, con qué datos se entrenó, qué pruebas pasó, qué limitaciones tiene, qué grupos protegidos analizó, qué riesgos identifica y qué métricas lo monitorean. La model card es la pieza primaria de evidencia regulatoria y la primera línea de comunicación con auditores y reguladores.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
              <w:left w:val="single" w:color="1F3A5F" w:sz="18"/>
              <w:bottom w:val="single" w:color="1F3A5F" w:sz="1"/>
              <w:right w:val="single" w:color="1F3A5F" w:sz="1"/>
            </w:tcBorders>
            <w:shd w:fill="F7F9FB" w:val="clear"/>
            <w:tcMar>
              <w:top w:type="dxa" w:w="160"/>
              <w:left w:type="dxa" w:w="200"/>
              <w:bottom w:type="dxa" w:w="160"/>
              <w:right w:type="dxa" w:w="200"/>
            </w:tcMar>
          </w:tcPr>
          <w:p>
            <w:pPr>
              <w:spacing w:after="80" w:before="0"/>
            </w:pPr>
            <w:r>
              <w:rPr>
                <w:rFonts w:ascii="Arial" w:cs="Arial" w:eastAsia="Arial" w:hAnsi="Arial"/>
                <w:b/>
                <w:bCs/>
                <w:color w:val="1F3A5F"/>
                <w:sz w:val="22"/>
                <w:szCs w:val="22"/>
              </w:rPr>
              <w:t xml:space="preserve">El cierre de la Parte A</w:t>
            </w:r>
          </w:p>
          <w:p>
            <w:pPr>
              <w:spacing w:after="0" w:before="0" w:line="280"/>
            </w:pPr>
            <w:r>
              <w:rPr>
                <w:rFonts w:ascii="Arial" w:cs="Arial" w:eastAsia="Arial" w:hAnsi="Arial"/>
                <w:color w:val="2D2D2D"/>
                <w:sz w:val="22"/>
                <w:szCs w:val="22"/>
              </w:rPr>
              <w:t xml:space="preserve">Una solución bien construida y bien operada todavía puede fracasar si las personas no la usan, no confían en ella, o sienten que las amenaza. Eso es lo que resuelve la Parte B.</w:t>
            </w:r>
          </w:p>
        </w:tc>
      </w:tr>
    </w:tbl>
    <w:p>
      <w:r>
        <w:br w:type="page"/>
      </w:r>
    </w:p>
    <w:p>
      <w:pPr>
        <w:spacing w:after="0" w:before="2400"/>
      </w:pPr>
      <w:r>
        <w:rPr>
          <w:rFonts w:ascii="Arial" w:cs="Arial" w:eastAsia="Arial" w:hAnsi="Arial"/>
        </w:rPr>
        <w:t xml:space="preserve"/>
      </w:r>
    </w:p>
    <w:p>
      <w:pPr>
        <w:spacing w:after="240" w:before="0"/>
        <w:jc w:val="left"/>
      </w:pPr>
      <w:r>
        <w:rPr>
          <w:rFonts w:ascii="Arial" w:cs="Arial" w:eastAsia="Arial" w:hAnsi="Arial"/>
          <w:b/>
          <w:bCs/>
          <w:color w:val="2E75B6"/>
          <w:spacing w:val="80"/>
          <w:sz w:val="22"/>
          <w:szCs w:val="22"/>
        </w:rPr>
        <w:t xml:space="preserve">PARTE B</w:t>
      </w:r>
    </w:p>
    <w:p>
      <w:pPr>
        <w:spacing w:after="120" w:before="0"/>
        <w:jc w:val="left"/>
      </w:pPr>
      <w:r>
        <w:rPr>
          <w:rFonts w:ascii="Arial" w:cs="Arial" w:eastAsia="Arial" w:hAnsi="Arial"/>
          <w:b/>
          <w:bCs/>
          <w:color w:val="6B7280"/>
          <w:sz w:val="28"/>
          <w:szCs w:val="28"/>
        </w:rPr>
        <w:t xml:space="preserve">Módulo 6B</w:t>
      </w:r>
    </w:p>
    <w:p>
      <w:pPr>
        <w:spacing w:after="120" w:before="0"/>
        <w:jc w:val="left"/>
      </w:pPr>
      <w:r>
        <w:rPr>
          <w:rFonts w:ascii="Arial" w:cs="Arial" w:eastAsia="Arial" w:hAnsi="Arial"/>
          <w:b/>
          <w:bCs/>
          <w:color w:val="1F3A5F"/>
          <w:sz w:val="60"/>
          <w:szCs w:val="60"/>
        </w:rPr>
        <w:t xml:space="preserve">Adopción y gestión del cambio</w:t>
      </w:r>
    </w:p>
    <w:p>
      <w:pPr>
        <w:spacing w:after="360" w:before="0"/>
        <w:jc w:val="left"/>
      </w:pPr>
      <w:r>
        <w:rPr>
          <w:rFonts w:ascii="Arial" w:cs="Arial" w:eastAsia="Arial" w:hAnsi="Arial"/>
          <w:i/>
          <w:iCs/>
          <w:color w:val="2D2D2D"/>
          <w:sz w:val="28"/>
          <w:szCs w:val="28"/>
        </w:rPr>
        <w:t xml:space="preserve">Para que las personas usen lo que construimos</w:t>
      </w:r>
    </w:p>
    <w:p>
      <w:pPr>
        <w:pBdr>
          <w:bottom w:val="single" w:color="1F3A5F" w:sz="8" w:space="1"/>
        </w:pBdr>
        <w:spacing w:after="0" w:before="120"/>
      </w:pPr>
      <w:r>
        <w:rPr>
          <w:rFonts w:ascii="Arial" w:cs="Arial" w:eastAsia="Arial" w:hAnsi="Arial"/>
        </w:rPr>
        <w:t xml:space="preserve"> </w:t>
      </w:r>
    </w:p>
    <w:p>
      <w:pPr>
        <w:pStyle w:val="Heading1"/>
        <w:pageBreakBefore/>
        <w:spacing w:after="240" w:before="480"/>
      </w:pPr>
      <w:r>
        <w:rPr>
          <w:rFonts w:ascii="Arial" w:cs="Arial" w:eastAsia="Arial" w:hAnsi="Arial"/>
          <w:b/>
          <w:bCs/>
          <w:color w:val="1F3A5F"/>
          <w:sz w:val="36"/>
          <w:szCs w:val="36"/>
        </w:rPr>
        <w:t xml:space="preserve">B.1  Introducción y propósito</w:t>
      </w:r>
    </w:p>
    <w:p>
      <w:pPr>
        <w:spacing w:after="180" w:before="120" w:line="320"/>
      </w:pPr>
      <w:r>
        <w:rPr>
          <w:rFonts w:ascii="Arial" w:cs="Arial" w:eastAsia="Arial" w:hAnsi="Arial"/>
          <w:color w:val="2D2D2D"/>
          <w:sz w:val="24"/>
          <w:szCs w:val="24"/>
        </w:rPr>
        <w:t xml:space="preserve">La Parte B resuelve el problema que de verdad mata estos proyectos: la madurez tecnológica del cliente y la actitud del personal hacia la automatización. La parte A puede ejecutarse con disciplina técnica impecable, pero si las personas no usan la solución, no confían en ella o sienten que las amenaza, el proyecto fracasa en silencio.</w:t>
      </w:r>
    </w:p>
    <w:p>
      <w:pPr>
        <w:pStyle w:val="Heading2"/>
        <w:spacing w:after="160" w:before="320"/>
      </w:pPr>
      <w:r>
        <w:rPr>
          <w:rFonts w:ascii="Arial" w:cs="Arial" w:eastAsia="Arial" w:hAnsi="Arial"/>
          <w:b/>
          <w:bCs/>
          <w:color w:val="1F3A5F"/>
          <w:sz w:val="28"/>
          <w:szCs w:val="28"/>
        </w:rPr>
        <w:t xml:space="preserve">B.1.1  Por qué la adopción es un carril paralelo, no una fase posterior</w:t>
      </w:r>
    </w:p>
    <w:p>
      <w:pPr>
        <w:spacing w:after="120" w:before="60" w:line="300"/>
      </w:pPr>
      <w:r>
        <w:rPr>
          <w:rFonts w:ascii="Arial" w:cs="Arial" w:eastAsia="Arial" w:hAnsi="Arial"/>
          <w:color w:val="2D2D2D"/>
          <w:sz w:val="22"/>
          <w:szCs w:val="22"/>
        </w:rPr>
        <w:t xml:space="preserve">La trampa más común de estas iniciativas es asumir que primero se construye la solución y luego "se gestiona el cambio". Cuando se aplica esa secuencia, el cambio llega tarde: la arquitectura ya tomó decisiones que afectan al usuario sin haberlo consultado, las personas se enteran de la solución cuando es inminente, y el resultado son sistemas que cumplen métricas técnicas pero quedan subutilizados. La adopción comienza el día uno del descubrimiento técnico y corre en paralelo a la Parte A.</w:t>
      </w:r>
    </w:p>
    <w:p>
      <w:pPr>
        <w:pStyle w:val="Heading2"/>
        <w:spacing w:after="160" w:before="320"/>
      </w:pPr>
      <w:r>
        <w:rPr>
          <w:rFonts w:ascii="Arial" w:cs="Arial" w:eastAsia="Arial" w:hAnsi="Arial"/>
          <w:b/>
          <w:bCs/>
          <w:color w:val="1F3A5F"/>
          <w:sz w:val="28"/>
          <w:szCs w:val="28"/>
        </w:rPr>
        <w:t xml:space="preserve">B.1.2  Qué cubre esta parte</w:t>
      </w:r>
    </w:p>
    <w:p>
      <w:pPr>
        <w:pStyle w:val="ListParagraph"/>
        <w:numPr>
          <w:ilvl w:val="0"/>
          <w:numId w:val="2"/>
        </w:numPr>
        <w:spacing w:after="80" w:before="40" w:line="280"/>
      </w:pPr>
      <w:r>
        <w:rPr>
          <w:rFonts w:ascii="Arial" w:cs="Arial" w:eastAsia="Arial" w:hAnsi="Arial"/>
          <w:color w:val="2D2D2D"/>
          <w:sz w:val="22"/>
          <w:szCs w:val="22"/>
        </w:rPr>
        <w:t xml:space="preserve">Marco integrado de gestión del cambio que toma de ADKAR (cambio individual), Kotter (transformación organizacional) y Bridges (transición psicológica).</w:t>
      </w:r>
    </w:p>
    <w:p>
      <w:pPr>
        <w:pStyle w:val="ListParagraph"/>
        <w:numPr>
          <w:ilvl w:val="0"/>
          <w:numId w:val="2"/>
        </w:numPr>
        <w:spacing w:after="80" w:before="40" w:line="280"/>
      </w:pPr>
      <w:r>
        <w:rPr>
          <w:rFonts w:ascii="Arial" w:cs="Arial" w:eastAsia="Arial" w:hAnsi="Arial"/>
          <w:color w:val="2D2D2D"/>
          <w:sz w:val="22"/>
          <w:szCs w:val="22"/>
        </w:rPr>
        <w:t xml:space="preserve">Mapeo de stakeholders y estrategia diferenciada por cuadrante.</w:t>
      </w:r>
    </w:p>
    <w:p>
      <w:pPr>
        <w:pStyle w:val="ListParagraph"/>
        <w:numPr>
          <w:ilvl w:val="0"/>
          <w:numId w:val="2"/>
        </w:numPr>
        <w:spacing w:after="80" w:before="40" w:line="280"/>
      </w:pPr>
      <w:r>
        <w:rPr>
          <w:rFonts w:ascii="Arial" w:cs="Arial" w:eastAsia="Arial" w:hAnsi="Arial"/>
          <w:color w:val="2D2D2D"/>
          <w:sz w:val="22"/>
          <w:szCs w:val="22"/>
        </w:rPr>
        <w:t xml:space="preserve">Estrategia de comunicación interna por audiencia y ritmo.</w:t>
      </w:r>
    </w:p>
    <w:p>
      <w:pPr>
        <w:pStyle w:val="ListParagraph"/>
        <w:numPr>
          <w:ilvl w:val="0"/>
          <w:numId w:val="2"/>
        </w:numPr>
        <w:spacing w:after="80" w:before="40" w:line="280"/>
      </w:pPr>
      <w:r>
        <w:rPr>
          <w:rFonts w:ascii="Arial" w:cs="Arial" w:eastAsia="Arial" w:hAnsi="Arial"/>
          <w:color w:val="2D2D2D"/>
          <w:sz w:val="22"/>
          <w:szCs w:val="22"/>
        </w:rPr>
        <w:t xml:space="preserve">Capítulo dedicado al "miedo al reemplazo" con framework propio, patrones de comunicación, principios éticos y rol del líder.</w:t>
      </w:r>
    </w:p>
    <w:p>
      <w:pPr>
        <w:pStyle w:val="ListParagraph"/>
        <w:numPr>
          <w:ilvl w:val="0"/>
          <w:numId w:val="2"/>
        </w:numPr>
        <w:spacing w:after="80" w:before="40" w:line="280"/>
      </w:pPr>
      <w:r>
        <w:rPr>
          <w:rFonts w:ascii="Arial" w:cs="Arial" w:eastAsia="Arial" w:hAnsi="Arial"/>
          <w:color w:val="2D2D2D"/>
          <w:sz w:val="22"/>
          <w:szCs w:val="22"/>
        </w:rPr>
        <w:t xml:space="preserve">Patrones conceptuales de diseño de flujos humano-IA y calibración de confianza.</w:t>
      </w:r>
    </w:p>
    <w:p>
      <w:pPr>
        <w:pStyle w:val="ListParagraph"/>
        <w:numPr>
          <w:ilvl w:val="0"/>
          <w:numId w:val="2"/>
        </w:numPr>
        <w:spacing w:after="80" w:before="40" w:line="280"/>
      </w:pPr>
      <w:r>
        <w:rPr>
          <w:rFonts w:ascii="Arial" w:cs="Arial" w:eastAsia="Arial" w:hAnsi="Arial"/>
          <w:color w:val="2D2D2D"/>
          <w:sz w:val="22"/>
          <w:szCs w:val="22"/>
        </w:rPr>
        <w:t xml:space="preserve">Plan de capacitación y construcción de capacidades.</w:t>
      </w:r>
    </w:p>
    <w:p>
      <w:pPr>
        <w:pStyle w:val="ListParagraph"/>
        <w:numPr>
          <w:ilvl w:val="0"/>
          <w:numId w:val="2"/>
        </w:numPr>
        <w:spacing w:after="80" w:before="40" w:line="280"/>
      </w:pPr>
      <w:r>
        <w:rPr>
          <w:rFonts w:ascii="Arial" w:cs="Arial" w:eastAsia="Arial" w:hAnsi="Arial"/>
          <w:color w:val="2D2D2D"/>
          <w:sz w:val="22"/>
          <w:szCs w:val="22"/>
        </w:rPr>
        <w:t xml:space="preserve">Métricas de adopción y sponsor management.</w:t>
      </w:r>
    </w:p>
    <w:p>
      <w:pPr>
        <w:pStyle w:val="Heading2"/>
        <w:spacing w:after="160" w:before="320"/>
      </w:pPr>
      <w:r>
        <w:rPr>
          <w:rFonts w:ascii="Arial" w:cs="Arial" w:eastAsia="Arial" w:hAnsi="Arial"/>
          <w:b/>
          <w:bCs/>
          <w:color w:val="1F3A5F"/>
          <w:sz w:val="28"/>
          <w:szCs w:val="28"/>
        </w:rPr>
        <w:t xml:space="preserve">B.1.3  Qué NO cubre</w:t>
      </w:r>
    </w:p>
    <w:p>
      <w:pPr>
        <w:pStyle w:val="ListParagraph"/>
        <w:numPr>
          <w:ilvl w:val="0"/>
          <w:numId w:val="2"/>
        </w:numPr>
        <w:spacing w:after="80" w:before="40" w:line="280"/>
      </w:pPr>
      <w:r>
        <w:rPr>
          <w:rFonts w:ascii="Arial" w:cs="Arial" w:eastAsia="Arial" w:hAnsi="Arial"/>
          <w:color w:val="2D2D2D"/>
          <w:sz w:val="22"/>
          <w:szCs w:val="22"/>
        </w:rPr>
        <w:t xml:space="preserve">Diagnóstico inicial de madurez organizacional (vive en el Módulo 1).</w:t>
      </w:r>
    </w:p>
    <w:p>
      <w:pPr>
        <w:pStyle w:val="ListParagraph"/>
        <w:numPr>
          <w:ilvl w:val="0"/>
          <w:numId w:val="2"/>
        </w:numPr>
        <w:spacing w:after="80" w:before="40" w:line="280"/>
      </w:pPr>
      <w:r>
        <w:rPr>
          <w:rFonts w:ascii="Arial" w:cs="Arial" w:eastAsia="Arial" w:hAnsi="Arial"/>
          <w:color w:val="2D2D2D"/>
          <w:sz w:val="22"/>
          <w:szCs w:val="22"/>
        </w:rPr>
        <w:t xml:space="preserve">Centro de Excelencia y modelo operativo objetivo de largo plazo (Módulo 7).</w:t>
      </w:r>
    </w:p>
    <w:p>
      <w:pPr>
        <w:pStyle w:val="ListParagraph"/>
        <w:numPr>
          <w:ilvl w:val="0"/>
          <w:numId w:val="2"/>
        </w:numPr>
        <w:spacing w:after="80" w:before="40" w:line="280"/>
      </w:pPr>
      <w:r>
        <w:rPr>
          <w:rFonts w:ascii="Arial" w:cs="Arial" w:eastAsia="Arial" w:hAnsi="Arial"/>
          <w:color w:val="2D2D2D"/>
          <w:sz w:val="22"/>
          <w:szCs w:val="22"/>
        </w:rPr>
        <w:t xml:space="preserve">Detalle técnico de la implementación (Parte A de este módulo).</w:t>
      </w:r>
    </w:p>
    <w:p>
      <w:pPr>
        <w:pStyle w:val="Heading1"/>
        <w:pageBreakBefore/>
        <w:spacing w:after="240" w:before="480"/>
      </w:pPr>
      <w:r>
        <w:rPr>
          <w:rFonts w:ascii="Arial" w:cs="Arial" w:eastAsia="Arial" w:hAnsi="Arial"/>
          <w:b/>
          <w:bCs/>
          <w:color w:val="1F3A5F"/>
          <w:sz w:val="36"/>
          <w:szCs w:val="36"/>
        </w:rPr>
        <w:t xml:space="preserve">B.2  Marco integrado de gestión del cambio</w:t>
      </w:r>
    </w:p>
    <w:p>
      <w:pPr>
        <w:spacing w:after="180" w:before="120" w:line="320"/>
      </w:pPr>
      <w:r>
        <w:rPr>
          <w:rFonts w:ascii="Arial" w:cs="Arial" w:eastAsia="Arial" w:hAnsi="Arial"/>
          <w:color w:val="2D2D2D"/>
          <w:sz w:val="24"/>
          <w:szCs w:val="24"/>
        </w:rPr>
        <w:t xml:space="preserve">Ningún framework único cubre el cambio en su totalidad. La adopción de IA cruza tres planos: la transformación de la organización, la psicología individual de los afectados y la transición operativa entre el modo viejo y el modo nuevo. El marco de esta parte integra los tres.</w:t>
      </w:r>
    </w:p>
    <w:p>
      <w:pPr>
        <w:pStyle w:val="Heading2"/>
        <w:spacing w:after="160" w:before="320"/>
      </w:pPr>
      <w:r>
        <w:rPr>
          <w:rFonts w:ascii="Arial" w:cs="Arial" w:eastAsia="Arial" w:hAnsi="Arial"/>
          <w:b/>
          <w:bCs/>
          <w:color w:val="1F3A5F"/>
          <w:sz w:val="28"/>
          <w:szCs w:val="28"/>
        </w:rPr>
        <w:t xml:space="preserve">B.2.1  Los tres planos del cambio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rPr>
          <w:tblHeader/>
        </w:trPr>
        <w:tc>
          <w:tcPr>
            <w:tcW w:type="dxa" w:w="216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Plano</w:t>
            </w:r>
          </w:p>
        </w:tc>
        <w:tc>
          <w:tcPr>
            <w:tcW w:type="dxa" w:w="240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Marco de referencia</w:t>
            </w:r>
          </w:p>
        </w:tc>
        <w:tc>
          <w:tcPr>
            <w:tcW w:type="dxa" w:w="240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Pregunta que responde</w:t>
            </w:r>
          </w:p>
        </w:tc>
        <w:tc>
          <w:tcPr>
            <w:tcW w:type="dxa" w:w="240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Cuándo es dominante</w:t>
            </w:r>
          </w:p>
        </w:tc>
      </w:tr>
      <w:tr>
        <w:trPr>
          <w:tblHeader w:val="false"/>
        </w:trP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Organizacional</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Kotter (8 pasos)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¿Cómo movilizamos a la organización entera hacia un nuevo estado?</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Inicio del programa, comunicación masiva, victorias visibles</w:t>
            </w:r>
          </w:p>
        </w:tc>
      </w:tr>
      <w:tr>
        <w:trPr>
          <w:tblHeader w:val="false"/>
        </w:trPr>
        <w:tc>
          <w:tcPr>
            <w:tcW w:type="dxa" w:w="216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Individual</w:t>
            </w:r>
          </w:p>
        </w:tc>
        <w:tc>
          <w:tcPr>
            <w:tcW w:type="dxa" w:w="24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ADKAR (5 etapas)</w:t>
            </w:r>
          </w:p>
        </w:tc>
        <w:tc>
          <w:tcPr>
            <w:tcW w:type="dxa" w:w="24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¿Cómo logramos que cada persona haga el cambio?</w:t>
            </w:r>
          </w:p>
        </w:tc>
        <w:tc>
          <w:tcPr>
            <w:tcW w:type="dxa" w:w="24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Despliegue por persona, capacitación, coaching uno-a-uno</w:t>
            </w:r>
          </w:p>
        </w:tc>
      </w:tr>
      <w:tr>
        <w:trPr>
          <w:tblHeader w:val="false"/>
        </w:trP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Psicológico / transición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Bridges (3 fases)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¿Cómo gestionamos el duelo del modo viejo y la entrada al nuevo?</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Momentos de pérdida, ambigüedad, miedo al reemplazo</w:t>
            </w:r>
          </w:p>
        </w:tc>
      </w:tr>
    </w:tbl>
    <w:p>
      <w:pPr>
        <w:spacing w:after="0" w:before="200"/>
      </w:pPr>
      <w:r>
        <w:rPr>
          <w:rFonts w:ascii="Arial" w:cs="Arial" w:eastAsia="Arial" w:hAnsi="Arial"/>
        </w:rPr>
        <w:t xml:space="preserve"/>
      </w:r>
    </w:p>
    <w:p>
      <w:pPr>
        <w:pStyle w:val="Heading2"/>
        <w:spacing w:after="160" w:before="320"/>
      </w:pPr>
      <w:r>
        <w:rPr>
          <w:rFonts w:ascii="Arial" w:cs="Arial" w:eastAsia="Arial" w:hAnsi="Arial"/>
          <w:b/>
          <w:bCs/>
          <w:color w:val="1F3A5F"/>
          <w:sz w:val="28"/>
          <w:szCs w:val="28"/>
        </w:rPr>
        <w:t xml:space="preserve">B.2.2  La integración: cómo se aplican juntos</w:t>
      </w:r>
    </w:p>
    <w:p>
      <w:pPr>
        <w:spacing w:after="120" w:before="60" w:line="300"/>
      </w:pPr>
      <w:r>
        <w:rPr>
          <w:rFonts w:ascii="Arial" w:cs="Arial" w:eastAsia="Arial" w:hAnsi="Arial"/>
          <w:color w:val="2D2D2D"/>
          <w:sz w:val="22"/>
          <w:szCs w:val="22"/>
        </w:rPr>
        <w:t xml:space="preserve">El marco organizacional de Kotter da el chasis: urgencia, coalición, visión, comunicación, capacitación, victorias tempranas, anclaje. El marco individual de ADKAR resuelve el descenso al nivel persona: conciencia (Awareness), deseo (Desire), conocimiento (Knowledge), habilidad (Ability), refuerzo (Reinforcement). El marco de Bridges complementa con la dimensión psicológica de la transición: terminar el modo anterior, atravesar la zona neutra de incertidumbre, comenzar el modo nuevo. Ningún proyecto de IA usa los tres con la misma intensidad; el equilibrio depende del impacto humano del caso.</w:t>
      </w:r>
    </w:p>
    <w:p>
      <w:pPr>
        <w:pStyle w:val="Heading2"/>
        <w:spacing w:after="160" w:before="320"/>
      </w:pPr>
      <w:r>
        <w:rPr>
          <w:rFonts w:ascii="Arial" w:cs="Arial" w:eastAsia="Arial" w:hAnsi="Arial"/>
          <w:b/>
          <w:bCs/>
          <w:color w:val="1F3A5F"/>
          <w:sz w:val="28"/>
          <w:szCs w:val="28"/>
        </w:rPr>
        <w:t xml:space="preserve">B.2.3  Las 8 actividades centrales del cambio en proyectos de IA</w:t>
      </w:r>
    </w:p>
    <w:p>
      <w:pPr>
        <w:pStyle w:val="ListParagraph"/>
        <w:numPr>
          <w:ilvl w:val="0"/>
          <w:numId w:val="2"/>
        </w:numPr>
        <w:spacing w:after="80" w:before="40" w:line="280"/>
      </w:pPr>
      <w:r>
        <w:rPr>
          <w:rFonts w:ascii="Arial" w:cs="Arial" w:eastAsia="Arial" w:hAnsi="Arial"/>
          <w:b/>
          <w:bCs/>
        </w:rPr>
        <w:t xml:space="preserve">1. Crear urgencia honesta. </w:t>
      </w:r>
      <w:r>
        <w:rPr>
          <w:rFonts w:ascii="Arial" w:cs="Arial" w:eastAsia="Arial" w:hAnsi="Arial"/>
          <w:color w:val="2D2D2D"/>
          <w:sz w:val="22"/>
          <w:szCs w:val="22"/>
        </w:rPr>
        <w:t xml:space="preserve">¿Por qué ahora? Articular el problema en términos de negocio sin sobreventa ni catastrofismo.</w:t>
      </w:r>
    </w:p>
    <w:p>
      <w:pPr>
        <w:pStyle w:val="ListParagraph"/>
        <w:numPr>
          <w:ilvl w:val="0"/>
          <w:numId w:val="2"/>
        </w:numPr>
        <w:spacing w:after="80" w:before="40" w:line="280"/>
      </w:pPr>
      <w:r>
        <w:rPr>
          <w:rFonts w:ascii="Arial" w:cs="Arial" w:eastAsia="Arial" w:hAnsi="Arial"/>
          <w:b/>
          <w:bCs/>
        </w:rPr>
        <w:t xml:space="preserve">2. Construir coalición de patrocinio. </w:t>
      </w:r>
      <w:r>
        <w:rPr>
          <w:rFonts w:ascii="Arial" w:cs="Arial" w:eastAsia="Arial" w:hAnsi="Arial"/>
          <w:color w:val="2D2D2D"/>
          <w:sz w:val="22"/>
          <w:szCs w:val="22"/>
        </w:rPr>
        <w:t xml:space="preserve">Sponsor ejecutivo + líderes de áreas afectadas + influenciadores informales. Nadie cambia solo desde TI.</w:t>
      </w:r>
    </w:p>
    <w:p>
      <w:pPr>
        <w:pStyle w:val="ListParagraph"/>
        <w:numPr>
          <w:ilvl w:val="0"/>
          <w:numId w:val="2"/>
        </w:numPr>
        <w:spacing w:after="80" w:before="40" w:line="280"/>
      </w:pPr>
      <w:r>
        <w:rPr>
          <w:rFonts w:ascii="Arial" w:cs="Arial" w:eastAsia="Arial" w:hAnsi="Arial"/>
          <w:b/>
          <w:bCs/>
        </w:rPr>
        <w:t xml:space="preserve">3. Definir y comunicar la visión. </w:t>
      </w:r>
      <w:r>
        <w:rPr>
          <w:rFonts w:ascii="Arial" w:cs="Arial" w:eastAsia="Arial" w:hAnsi="Arial"/>
          <w:color w:val="2D2D2D"/>
          <w:sz w:val="22"/>
          <w:szCs w:val="22"/>
        </w:rPr>
        <w:t xml:space="preserve">Una frase clara de qué cambia, qué no cambia y qué ganan las personas.</w:t>
      </w:r>
    </w:p>
    <w:p>
      <w:pPr>
        <w:pStyle w:val="ListParagraph"/>
        <w:numPr>
          <w:ilvl w:val="0"/>
          <w:numId w:val="2"/>
        </w:numPr>
        <w:spacing w:after="80" w:before="40" w:line="280"/>
      </w:pPr>
      <w:r>
        <w:rPr>
          <w:rFonts w:ascii="Arial" w:cs="Arial" w:eastAsia="Arial" w:hAnsi="Arial"/>
          <w:b/>
          <w:bCs/>
        </w:rPr>
        <w:t xml:space="preserve">4. Mapear y atender stakeholders. </w:t>
      </w:r>
      <w:r>
        <w:rPr>
          <w:rFonts w:ascii="Arial" w:cs="Arial" w:eastAsia="Arial" w:hAnsi="Arial"/>
          <w:color w:val="2D2D2D"/>
          <w:sz w:val="22"/>
          <w:szCs w:val="22"/>
        </w:rPr>
        <w:t xml:space="preserve">Análisis de poder/interés, estrategia diferenciada por cuadrante.</w:t>
      </w:r>
    </w:p>
    <w:p>
      <w:pPr>
        <w:pStyle w:val="ListParagraph"/>
        <w:numPr>
          <w:ilvl w:val="0"/>
          <w:numId w:val="2"/>
        </w:numPr>
        <w:spacing w:after="80" w:before="40" w:line="280"/>
      </w:pPr>
      <w:r>
        <w:rPr>
          <w:rFonts w:ascii="Arial" w:cs="Arial" w:eastAsia="Arial" w:hAnsi="Arial"/>
          <w:b/>
          <w:bCs/>
        </w:rPr>
        <w:t xml:space="preserve">5. Capacitar y empoderar. </w:t>
      </w:r>
      <w:r>
        <w:rPr>
          <w:rFonts w:ascii="Arial" w:cs="Arial" w:eastAsia="Arial" w:hAnsi="Arial"/>
          <w:color w:val="2D2D2D"/>
          <w:sz w:val="22"/>
          <w:szCs w:val="22"/>
        </w:rPr>
        <w:t xml:space="preserve">No solo "cómo se usa"; también cuándo no usarlo, cómo desafiar la respuesta del modelo, qué hacer cuando algo se siente mal.</w:t>
      </w:r>
    </w:p>
    <w:p>
      <w:pPr>
        <w:pStyle w:val="ListParagraph"/>
        <w:numPr>
          <w:ilvl w:val="0"/>
          <w:numId w:val="2"/>
        </w:numPr>
        <w:spacing w:after="80" w:before="40" w:line="280"/>
      </w:pPr>
      <w:r>
        <w:rPr>
          <w:rFonts w:ascii="Arial" w:cs="Arial" w:eastAsia="Arial" w:hAnsi="Arial"/>
          <w:b/>
          <w:bCs/>
        </w:rPr>
        <w:t xml:space="preserve">6. Generar y celebrar victorias tempranas. </w:t>
      </w:r>
      <w:r>
        <w:rPr>
          <w:rFonts w:ascii="Arial" w:cs="Arial" w:eastAsia="Arial" w:hAnsi="Arial"/>
          <w:color w:val="2D2D2D"/>
          <w:sz w:val="22"/>
          <w:szCs w:val="22"/>
        </w:rPr>
        <w:t xml:space="preserve">Casos visibles de impacto en los primeros 90 días, contados por sus protagonistas.</w:t>
      </w:r>
    </w:p>
    <w:p>
      <w:pPr>
        <w:pStyle w:val="ListParagraph"/>
        <w:numPr>
          <w:ilvl w:val="0"/>
          <w:numId w:val="2"/>
        </w:numPr>
        <w:spacing w:after="80" w:before="40" w:line="280"/>
      </w:pPr>
      <w:r>
        <w:rPr>
          <w:rFonts w:ascii="Arial" w:cs="Arial" w:eastAsia="Arial" w:hAnsi="Arial"/>
          <w:b/>
          <w:bCs/>
        </w:rPr>
        <w:t xml:space="preserve">7. Sostener el cambio. </w:t>
      </w:r>
      <w:r>
        <w:rPr>
          <w:rFonts w:ascii="Arial" w:cs="Arial" w:eastAsia="Arial" w:hAnsi="Arial"/>
          <w:color w:val="2D2D2D"/>
          <w:sz w:val="22"/>
          <w:szCs w:val="22"/>
        </w:rPr>
        <w:t xml:space="preserve">Refuerzo continuo: nuevos rituales, métricas visibles, reconocimiento.</w:t>
      </w:r>
    </w:p>
    <w:p>
      <w:pPr>
        <w:pStyle w:val="ListParagraph"/>
        <w:numPr>
          <w:ilvl w:val="0"/>
          <w:numId w:val="2"/>
        </w:numPr>
        <w:spacing w:after="80" w:before="40" w:line="280"/>
      </w:pPr>
      <w:r>
        <w:rPr>
          <w:rFonts w:ascii="Arial" w:cs="Arial" w:eastAsia="Arial" w:hAnsi="Arial"/>
          <w:b/>
          <w:bCs/>
        </w:rPr>
        <w:t xml:space="preserve">8. Anclar en la cultura. </w:t>
      </w:r>
      <w:r>
        <w:rPr>
          <w:rFonts w:ascii="Arial" w:cs="Arial" w:eastAsia="Arial" w:hAnsi="Arial"/>
          <w:color w:val="2D2D2D"/>
          <w:sz w:val="22"/>
          <w:szCs w:val="22"/>
        </w:rPr>
        <w:t xml:space="preserve">Embeber el modo nuevo en procesos, evaluaciones de desempeño y narrativa institucional.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single" w:color="2E75B6" w:sz="1"/>
            </w:tcBorders>
            <w:shd w:fill="F7F9FB" w:val="clear"/>
            <w:tcMar>
              <w:top w:type="dxa" w:w="160"/>
              <w:left w:type="dxa" w:w="200"/>
              <w:bottom w:type="dxa" w:w="160"/>
              <w:right w:type="dxa" w:w="200"/>
            </w:tcMar>
          </w:tcPr>
          <w:p>
            <w:pPr>
              <w:spacing w:after="80" w:before="0"/>
            </w:pPr>
            <w:r>
              <w:rPr>
                <w:rFonts w:ascii="Arial" w:cs="Arial" w:eastAsia="Arial" w:hAnsi="Arial"/>
                <w:b/>
                <w:bCs/>
                <w:color w:val="2E75B6"/>
                <w:sz w:val="22"/>
                <w:szCs w:val="22"/>
              </w:rPr>
              <w:t xml:space="preserve">Diferencia con un cambio organizacional tradicional</w:t>
            </w:r>
          </w:p>
          <w:p>
            <w:pPr>
              <w:spacing w:after="0" w:before="0" w:line="280"/>
            </w:pPr>
            <w:r>
              <w:rPr>
                <w:rFonts w:ascii="Arial" w:cs="Arial" w:eastAsia="Arial" w:hAnsi="Arial"/>
                <w:color w:val="2D2D2D"/>
                <w:sz w:val="22"/>
                <w:szCs w:val="22"/>
              </w:rPr>
              <w:t xml:space="preserve">Los proyectos de IA cargan dos sensibilidades adicionales que no están en los marcos clásicos: el miedo al reemplazo y la calibración de confianza en una decisión que un sistema toma. Por eso este módulo dedica capítulos específicos a ambos.</w:t>
            </w:r>
          </w:p>
        </w:tc>
      </w:tr>
    </w:tbl>
    <w:p>
      <w:pPr>
        <w:pStyle w:val="Heading1"/>
        <w:pageBreakBefore/>
        <w:spacing w:after="240" w:before="480"/>
      </w:pPr>
      <w:r>
        <w:rPr>
          <w:rFonts w:ascii="Arial" w:cs="Arial" w:eastAsia="Arial" w:hAnsi="Arial"/>
          <w:b/>
          <w:bCs/>
          <w:color w:val="1F3A5F"/>
          <w:sz w:val="36"/>
          <w:szCs w:val="36"/>
        </w:rPr>
        <w:t xml:space="preserve">B.3  Stakeholder mapping</w:t>
      </w:r>
    </w:p>
    <w:p>
      <w:pPr>
        <w:spacing w:after="180" w:before="120" w:line="320"/>
      </w:pPr>
      <w:r>
        <w:rPr>
          <w:rFonts w:ascii="Arial" w:cs="Arial" w:eastAsia="Arial" w:hAnsi="Arial"/>
          <w:color w:val="2D2D2D"/>
          <w:sz w:val="24"/>
          <w:szCs w:val="24"/>
        </w:rPr>
        <w:t xml:space="preserve">Tratar a todos los stakeholders igual desperdicia esfuerzo y genera ruido. La matriz poder/interés es la herramienta primaria; la estrategia se diferencia por cuadrante.</w:t>
      </w:r>
    </w:p>
    <w:p>
      <w:pPr>
        <w:pStyle w:val="Heading2"/>
        <w:spacing w:after="160" w:before="320"/>
      </w:pPr>
      <w:r>
        <w:rPr>
          <w:rFonts w:ascii="Arial" w:cs="Arial" w:eastAsia="Arial" w:hAnsi="Arial"/>
          <w:b/>
          <w:bCs/>
          <w:color w:val="1F3A5F"/>
          <w:sz w:val="28"/>
          <w:szCs w:val="28"/>
        </w:rPr>
        <w:t xml:space="preserve">B.3.1  La matriz poder × interés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
            </w:r>
          </w:p>
        </w:tc>
        <w:tc>
          <w:tcPr>
            <w:tcW w:type="dxa" w:w="351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Bajo interés</w:t>
            </w:r>
          </w:p>
        </w:tc>
        <w:tc>
          <w:tcPr>
            <w:tcW w:type="dxa" w:w="351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Alto interés</w:t>
            </w:r>
          </w:p>
        </w:tc>
      </w:tr>
      <w:tr>
        <w:trPr>
          <w:tblHeader w:val="false"/>
        </w:trPr>
        <w:tc>
          <w:tcPr>
            <w:tcW w:type="dxa" w:w="234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Alto poder</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0"/>
            </w:pPr>
            <w:r>
              <w:rPr>
                <w:rFonts w:ascii="Arial" w:cs="Arial" w:eastAsia="Arial" w:hAnsi="Arial"/>
                <w:b/>
                <w:bCs/>
                <w:color w:val="1F3A5F"/>
                <w:sz w:val="20"/>
                <w:szCs w:val="20"/>
              </w:rPr>
              <w:t xml:space="preserve">MANTENER SATISFECHOS</w:t>
            </w:r>
          </w:p>
          <w:p>
            <w:pPr>
              <w:spacing w:after="0" w:before="0" w:line="260"/>
            </w:pPr>
            <w:r>
              <w:rPr>
                <w:rFonts w:ascii="Arial" w:cs="Arial" w:eastAsia="Arial" w:hAnsi="Arial"/>
                <w:color w:val="2D2D2D"/>
                <w:sz w:val="20"/>
                <w:szCs w:val="20"/>
              </w:rPr>
              <w:t xml:space="preserve">Comunicación periódica al más alto nivel. No saturar. Asegurar que conocen los hitos y los riesgos.</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0"/>
            </w:pPr>
            <w:r>
              <w:rPr>
                <w:rFonts w:ascii="Arial" w:cs="Arial" w:eastAsia="Arial" w:hAnsi="Arial"/>
                <w:b/>
                <w:bCs/>
                <w:color w:val="2E7D32"/>
                <w:sz w:val="20"/>
                <w:szCs w:val="20"/>
              </w:rPr>
              <w:t xml:space="preserve">GESTIONAR ACTIVAMENTE</w:t>
            </w:r>
          </w:p>
          <w:p>
            <w:pPr>
              <w:spacing w:after="0" w:before="0" w:line="260"/>
            </w:pPr>
            <w:r>
              <w:rPr>
                <w:rFonts w:ascii="Arial" w:cs="Arial" w:eastAsia="Arial" w:hAnsi="Arial"/>
                <w:color w:val="2D2D2D"/>
                <w:sz w:val="20"/>
                <w:szCs w:val="20"/>
              </w:rPr>
              <w:t xml:space="preserve">Sponsor y aliados clave. Reuniones regulares, toma de decisiones conjunta, acceso a información. Inversión máxima de tiempo.</w:t>
            </w:r>
          </w:p>
        </w:tc>
      </w:tr>
      <w:tr>
        <w:trPr>
          <w:tblHeader w:val="false"/>
        </w:trPr>
        <w:tc>
          <w:tcPr>
            <w:tcW w:type="dxa" w:w="234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Bajo poder</w:t>
            </w:r>
          </w:p>
        </w:tc>
        <w:tc>
          <w:tcPr>
            <w:tcW w:type="dxa" w:w="351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60" w:before="0"/>
            </w:pPr>
            <w:r>
              <w:rPr>
                <w:rFonts w:ascii="Arial" w:cs="Arial" w:eastAsia="Arial" w:hAnsi="Arial"/>
                <w:b/>
                <w:bCs/>
                <w:color w:val="6B7280"/>
                <w:sz w:val="20"/>
                <w:szCs w:val="20"/>
              </w:rPr>
              <w:t xml:space="preserve">MONITOREAR</w:t>
            </w:r>
          </w:p>
          <w:p>
            <w:pPr>
              <w:spacing w:after="0" w:before="0" w:line="260"/>
            </w:pPr>
            <w:r>
              <w:rPr>
                <w:rFonts w:ascii="Arial" w:cs="Arial" w:eastAsia="Arial" w:hAnsi="Arial"/>
                <w:color w:val="2D2D2D"/>
                <w:sz w:val="20"/>
                <w:szCs w:val="20"/>
              </w:rPr>
              <w:t xml:space="preserve">Comunicación mínima. Estar atentos a cambios en su nivel de interés o de poder.</w:t>
            </w:r>
          </w:p>
        </w:tc>
        <w:tc>
          <w:tcPr>
            <w:tcW w:type="dxa" w:w="351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60" w:before="0"/>
            </w:pPr>
            <w:r>
              <w:rPr>
                <w:rFonts w:ascii="Arial" w:cs="Arial" w:eastAsia="Arial" w:hAnsi="Arial"/>
                <w:b/>
                <w:bCs/>
                <w:color w:val="B7791F"/>
                <w:sz w:val="20"/>
                <w:szCs w:val="20"/>
              </w:rPr>
              <w:t xml:space="preserve">MANTENER INFORMADOS</w:t>
            </w:r>
          </w:p>
          <w:p>
            <w:pPr>
              <w:spacing w:after="0" w:before="0" w:line="260"/>
            </w:pPr>
            <w:r>
              <w:rPr>
                <w:rFonts w:ascii="Arial" w:cs="Arial" w:eastAsia="Arial" w:hAnsi="Arial"/>
                <w:color w:val="2D2D2D"/>
                <w:sz w:val="20"/>
                <w:szCs w:val="20"/>
              </w:rPr>
              <w:t xml:space="preserve">Usuarios finales y equipos afectados. Comunicación frecuente, capacitación, espacios de retroalimentación. Cultivar embajadores.</w:t>
            </w:r>
          </w:p>
        </w:tc>
      </w:tr>
    </w:tbl>
    <w:p>
      <w:pPr>
        <w:spacing w:after="0" w:before="240"/>
      </w:pPr>
      <w:r>
        <w:rPr>
          <w:rFonts w:ascii="Arial" w:cs="Arial" w:eastAsia="Arial" w:hAnsi="Arial"/>
        </w:rPr>
        <w:t xml:space="preserve"/>
      </w:r>
    </w:p>
    <w:p>
      <w:pPr>
        <w:pStyle w:val="Heading2"/>
        <w:spacing w:after="160" w:before="320"/>
      </w:pPr>
      <w:r>
        <w:rPr>
          <w:rFonts w:ascii="Arial" w:cs="Arial" w:eastAsia="Arial" w:hAnsi="Arial"/>
          <w:b/>
          <w:bCs/>
          <w:color w:val="1F3A5F"/>
          <w:sz w:val="28"/>
          <w:szCs w:val="28"/>
        </w:rPr>
        <w:t xml:space="preserve">B.3.2  Stakeholders típicos en proyectos de IA</w:t>
      </w:r>
    </w:p>
    <w:p>
      <w:pPr>
        <w:pStyle w:val="ListParagraph"/>
        <w:numPr>
          <w:ilvl w:val="0"/>
          <w:numId w:val="2"/>
        </w:numPr>
        <w:spacing w:after="80" w:before="40" w:line="280"/>
      </w:pPr>
      <w:r>
        <w:rPr>
          <w:rFonts w:ascii="Arial" w:cs="Arial" w:eastAsia="Arial" w:hAnsi="Arial"/>
          <w:b/>
          <w:bCs/>
        </w:rPr>
        <w:t xml:space="preserve">Sponsor ejecutivo: </w:t>
      </w:r>
      <w:r>
        <w:rPr>
          <w:rFonts w:ascii="Arial" w:cs="Arial" w:eastAsia="Arial" w:hAnsi="Arial"/>
          <w:color w:val="2D2D2D"/>
          <w:sz w:val="22"/>
          <w:szCs w:val="22"/>
        </w:rPr>
        <w:t xml:space="preserve">alto poder, alto interés. Es la primera inversión de tiempo del programa.</w:t>
      </w:r>
    </w:p>
    <w:p>
      <w:pPr>
        <w:pStyle w:val="ListParagraph"/>
        <w:numPr>
          <w:ilvl w:val="0"/>
          <w:numId w:val="2"/>
        </w:numPr>
        <w:spacing w:after="80" w:before="40" w:line="280"/>
      </w:pPr>
      <w:r>
        <w:rPr>
          <w:rFonts w:ascii="Arial" w:cs="Arial" w:eastAsia="Arial" w:hAnsi="Arial"/>
          <w:b/>
          <w:bCs/>
        </w:rPr>
        <w:t xml:space="preserve">Líderes de áreas afectadas: </w:t>
      </w:r>
      <w:r>
        <w:rPr>
          <w:rFonts w:ascii="Arial" w:cs="Arial" w:eastAsia="Arial" w:hAnsi="Arial"/>
          <w:color w:val="2D2D2D"/>
          <w:sz w:val="22"/>
          <w:szCs w:val="22"/>
        </w:rPr>
        <w:t xml:space="preserve">alto poder, interés variable. Convertir su interés es prioridad temprana.</w:t>
      </w:r>
    </w:p>
    <w:p>
      <w:pPr>
        <w:pStyle w:val="ListParagraph"/>
        <w:numPr>
          <w:ilvl w:val="0"/>
          <w:numId w:val="2"/>
        </w:numPr>
        <w:spacing w:after="80" w:before="40" w:line="280"/>
      </w:pPr>
      <w:r>
        <w:rPr>
          <w:rFonts w:ascii="Arial" w:cs="Arial" w:eastAsia="Arial" w:hAnsi="Arial"/>
          <w:b/>
          <w:bCs/>
        </w:rPr>
        <w:t xml:space="preserve">Usuarios finales: </w:t>
      </w:r>
      <w:r>
        <w:rPr>
          <w:rFonts w:ascii="Arial" w:cs="Arial" w:eastAsia="Arial" w:hAnsi="Arial"/>
          <w:color w:val="2D2D2D"/>
          <w:sz w:val="22"/>
          <w:szCs w:val="22"/>
        </w:rPr>
        <w:t xml:space="preserve">bajo poder formal pero capacidad de bloquear adopción. Mantener informados con comunicación regular y dar espacios reales de feedback.</w:t>
      </w:r>
    </w:p>
    <w:p>
      <w:pPr>
        <w:pStyle w:val="ListParagraph"/>
        <w:numPr>
          <w:ilvl w:val="0"/>
          <w:numId w:val="2"/>
        </w:numPr>
        <w:spacing w:after="80" w:before="40" w:line="280"/>
      </w:pPr>
      <w:r>
        <w:rPr>
          <w:rFonts w:ascii="Arial" w:cs="Arial" w:eastAsia="Arial" w:hAnsi="Arial"/>
          <w:b/>
          <w:bCs/>
        </w:rPr>
        <w:t xml:space="preserve">Áreas de soporte (RR.HH., legal, riesgo, seguridad): </w:t>
      </w:r>
      <w:r>
        <w:rPr>
          <w:rFonts w:ascii="Arial" w:cs="Arial" w:eastAsia="Arial" w:hAnsi="Arial"/>
          <w:color w:val="2D2D2D"/>
          <w:sz w:val="22"/>
          <w:szCs w:val="22"/>
        </w:rPr>
        <w:t xml:space="preserve">poder de bloqueo en momentos críticos. Involucrar temprano para evitar veto tardío.</w:t>
      </w:r>
    </w:p>
    <w:p>
      <w:pPr>
        <w:pStyle w:val="ListParagraph"/>
        <w:numPr>
          <w:ilvl w:val="0"/>
          <w:numId w:val="2"/>
        </w:numPr>
        <w:spacing w:after="80" w:before="40" w:line="280"/>
      </w:pPr>
      <w:r>
        <w:rPr>
          <w:rFonts w:ascii="Arial" w:cs="Arial" w:eastAsia="Arial" w:hAnsi="Arial"/>
          <w:b/>
          <w:bCs/>
        </w:rPr>
        <w:t xml:space="preserve">Sindicatos y representaciones del personal (si aplica): </w:t>
      </w:r>
      <w:r>
        <w:rPr>
          <w:rFonts w:ascii="Arial" w:cs="Arial" w:eastAsia="Arial" w:hAnsi="Arial"/>
          <w:color w:val="2D2D2D"/>
          <w:sz w:val="22"/>
          <w:szCs w:val="22"/>
        </w:rPr>
        <w:t xml:space="preserve">poder real en organizaciones reguladas o con tradición de negociación colectiva. Su involucramiento temprano es estratégico, no opcional.</w:t>
      </w:r>
    </w:p>
    <w:p>
      <w:pPr>
        <w:pStyle w:val="ListParagraph"/>
        <w:numPr>
          <w:ilvl w:val="0"/>
          <w:numId w:val="2"/>
        </w:numPr>
        <w:spacing w:after="80" w:before="40" w:line="280"/>
      </w:pPr>
      <w:r>
        <w:rPr>
          <w:rFonts w:ascii="Arial" w:cs="Arial" w:eastAsia="Arial" w:hAnsi="Arial"/>
          <w:b/>
          <w:bCs/>
        </w:rPr>
        <w:t xml:space="preserve">Reguladores externos: </w:t>
      </w:r>
      <w:r>
        <w:rPr>
          <w:rFonts w:ascii="Arial" w:cs="Arial" w:eastAsia="Arial" w:hAnsi="Arial"/>
          <w:color w:val="2D2D2D"/>
          <w:sz w:val="22"/>
          <w:szCs w:val="22"/>
        </w:rPr>
        <w:t xml:space="preserve">alto poder cuando el caso es de alto riesgo. Anticipar su revisión y preparar documentación.</w:t>
      </w:r>
    </w:p>
    <w:p>
      <w:pPr>
        <w:pStyle w:val="Heading1"/>
        <w:pageBreakBefore/>
        <w:spacing w:after="240" w:before="480"/>
      </w:pPr>
      <w:r>
        <w:rPr>
          <w:rFonts w:ascii="Arial" w:cs="Arial" w:eastAsia="Arial" w:hAnsi="Arial"/>
          <w:b/>
          <w:bCs/>
          <w:color w:val="1F3A5F"/>
          <w:sz w:val="36"/>
          <w:szCs w:val="36"/>
        </w:rPr>
        <w:t xml:space="preserve">B.4  Estrategia de comunicación interna</w:t>
      </w:r>
    </w:p>
    <w:p>
      <w:pPr>
        <w:spacing w:after="180" w:before="120" w:line="320"/>
      </w:pPr>
      <w:r>
        <w:rPr>
          <w:rFonts w:ascii="Arial" w:cs="Arial" w:eastAsia="Arial" w:hAnsi="Arial"/>
          <w:color w:val="2D2D2D"/>
          <w:sz w:val="24"/>
          <w:szCs w:val="24"/>
        </w:rPr>
        <w:t xml:space="preserve">La comunicación es el principal mecanismo de prevención de resistencia. Mal hecha, alimenta rumores; bien hecha, construye confianza y genera embajadores. Tres dimensiones definen la estrategia: principios, ritmo y mensajes diferenciados por audiencia.</w:t>
      </w:r>
    </w:p>
    <w:p>
      <w:pPr>
        <w:pStyle w:val="Heading2"/>
        <w:spacing w:after="160" w:before="320"/>
      </w:pPr>
      <w:r>
        <w:rPr>
          <w:rFonts w:ascii="Arial" w:cs="Arial" w:eastAsia="Arial" w:hAnsi="Arial"/>
          <w:b/>
          <w:bCs/>
          <w:color w:val="1F3A5F"/>
          <w:sz w:val="28"/>
          <w:szCs w:val="28"/>
        </w:rPr>
        <w:t xml:space="preserve">B.4.1  Cinco principios de comunicación en proyectos de IA</w:t>
      </w:r>
    </w:p>
    <w:p>
      <w:pPr>
        <w:pStyle w:val="ListParagraph"/>
        <w:numPr>
          <w:ilvl w:val="0"/>
          <w:numId w:val="2"/>
        </w:numPr>
        <w:spacing w:after="80" w:before="40" w:line="280"/>
      </w:pPr>
      <w:r>
        <w:rPr>
          <w:rFonts w:ascii="Arial" w:cs="Arial" w:eastAsia="Arial" w:hAnsi="Arial"/>
          <w:b/>
          <w:bCs/>
        </w:rPr>
        <w:t xml:space="preserve">Honestidad sobre intención y alcance. </w:t>
      </w:r>
      <w:r>
        <w:rPr>
          <w:rFonts w:ascii="Arial" w:cs="Arial" w:eastAsia="Arial" w:hAnsi="Arial"/>
          <w:color w:val="2D2D2D"/>
          <w:sz w:val="22"/>
          <w:szCs w:val="22"/>
        </w:rPr>
        <w:t xml:space="preserve">Decir desde el día uno qué se busca con la solución, qué cambiará y qué no. Si hay impacto en empleos, decirlo. Las omisiones se interpretan en el peor escenario posible.</w:t>
      </w:r>
    </w:p>
    <w:p>
      <w:pPr>
        <w:pStyle w:val="ListParagraph"/>
        <w:numPr>
          <w:ilvl w:val="0"/>
          <w:numId w:val="2"/>
        </w:numPr>
        <w:spacing w:after="80" w:before="40" w:line="280"/>
      </w:pPr>
      <w:r>
        <w:rPr>
          <w:rFonts w:ascii="Arial" w:cs="Arial" w:eastAsia="Arial" w:hAnsi="Arial"/>
          <w:b/>
          <w:bCs/>
        </w:rPr>
        <w:t xml:space="preserve">Anticipación. </w:t>
      </w:r>
      <w:r>
        <w:rPr>
          <w:rFonts w:ascii="Arial" w:cs="Arial" w:eastAsia="Arial" w:hAnsi="Arial"/>
          <w:color w:val="2D2D2D"/>
          <w:sz w:val="22"/>
          <w:szCs w:val="22"/>
        </w:rPr>
        <w:t xml:space="preserve">Comunicar antes de que aparezcan rumores. Una vez que el rumor circula, recuperar la narrativa cuesta cinco veces más esfuerzo.</w:t>
      </w:r>
    </w:p>
    <w:p>
      <w:pPr>
        <w:pStyle w:val="ListParagraph"/>
        <w:numPr>
          <w:ilvl w:val="0"/>
          <w:numId w:val="2"/>
        </w:numPr>
        <w:spacing w:after="80" w:before="40" w:line="280"/>
      </w:pPr>
      <w:r>
        <w:rPr>
          <w:rFonts w:ascii="Arial" w:cs="Arial" w:eastAsia="Arial" w:hAnsi="Arial"/>
          <w:b/>
          <w:bCs/>
        </w:rPr>
        <w:t xml:space="preserve">Consistencia entre niveles. </w:t>
      </w:r>
      <w:r>
        <w:rPr>
          <w:rFonts w:ascii="Arial" w:cs="Arial" w:eastAsia="Arial" w:hAnsi="Arial"/>
          <w:color w:val="2D2D2D"/>
          <w:sz w:val="22"/>
          <w:szCs w:val="22"/>
        </w:rPr>
        <w:t xml:space="preserve">Lo que se dice al directorio debe alinear con lo que se dice al equipo de soporte. Las contradicciones erosionan la confianza más que las malas noticias.</w:t>
      </w:r>
    </w:p>
    <w:p>
      <w:pPr>
        <w:pStyle w:val="ListParagraph"/>
        <w:numPr>
          <w:ilvl w:val="0"/>
          <w:numId w:val="2"/>
        </w:numPr>
        <w:spacing w:after="80" w:before="40" w:line="280"/>
      </w:pPr>
      <w:r>
        <w:rPr>
          <w:rFonts w:ascii="Arial" w:cs="Arial" w:eastAsia="Arial" w:hAnsi="Arial"/>
          <w:b/>
          <w:bCs/>
        </w:rPr>
        <w:t xml:space="preserve">Voz humana. </w:t>
      </w:r>
      <w:r>
        <w:rPr>
          <w:rFonts w:ascii="Arial" w:cs="Arial" w:eastAsia="Arial" w:hAnsi="Arial"/>
          <w:color w:val="2D2D2D"/>
          <w:sz w:val="22"/>
          <w:szCs w:val="22"/>
        </w:rPr>
        <w:t xml:space="preserve">Comunicación firmada por personas con nombre, no por departamentos. La gente confía en personas, no en organigramas.</w:t>
      </w:r>
    </w:p>
    <w:p>
      <w:pPr>
        <w:pStyle w:val="ListParagraph"/>
        <w:numPr>
          <w:ilvl w:val="0"/>
          <w:numId w:val="2"/>
        </w:numPr>
        <w:spacing w:after="80" w:before="40" w:line="280"/>
      </w:pPr>
      <w:r>
        <w:rPr>
          <w:rFonts w:ascii="Arial" w:cs="Arial" w:eastAsia="Arial" w:hAnsi="Arial"/>
          <w:b/>
          <w:bCs/>
        </w:rPr>
        <w:t xml:space="preserve">Espacio de respuesta. </w:t>
      </w:r>
      <w:r>
        <w:rPr>
          <w:rFonts w:ascii="Arial" w:cs="Arial" w:eastAsia="Arial" w:hAnsi="Arial"/>
          <w:color w:val="2D2D2D"/>
          <w:sz w:val="22"/>
          <w:szCs w:val="22"/>
        </w:rPr>
        <w:t xml:space="preserve">Cada comunicación abre canal de retroalimentación. Comunicación de una vía produce desconfianza; comunicación de doble vía produce ajustes oportunos.</w:t>
      </w:r>
    </w:p>
    <w:p>
      <w:pPr>
        <w:pStyle w:val="Heading2"/>
        <w:spacing w:after="160" w:before="320"/>
      </w:pPr>
      <w:r>
        <w:rPr>
          <w:rFonts w:ascii="Arial" w:cs="Arial" w:eastAsia="Arial" w:hAnsi="Arial"/>
          <w:b/>
          <w:bCs/>
          <w:color w:val="1F3A5F"/>
          <w:sz w:val="28"/>
          <w:szCs w:val="28"/>
        </w:rPr>
        <w:t xml:space="preserve">B.4.2  Ritmo y formatos por audiencia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160"/>
        <w:gridCol w:w="2160"/>
      </w:tblGrid>
      <w:tr>
        <w:trPr>
          <w:tblHeader/>
        </w:trPr>
        <w:tc>
          <w:tcPr>
            <w:tcW w:type="dxa" w:w="252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Audiencia</w:t>
            </w:r>
          </w:p>
        </w:tc>
        <w:tc>
          <w:tcPr>
            <w:tcW w:type="dxa" w:w="252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Formato principal</w:t>
            </w:r>
          </w:p>
        </w:tc>
        <w:tc>
          <w:tcPr>
            <w:tcW w:type="dxa" w:w="216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Frecuencia</w:t>
            </w:r>
          </w:p>
        </w:tc>
        <w:tc>
          <w:tcPr>
            <w:tcW w:type="dxa" w:w="216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Foco del mensaje</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2D2D2D"/>
                <w:sz w:val="20"/>
                <w:szCs w:val="20"/>
              </w:rPr>
              <w:t xml:space="preserve">Comité ejecutivo / directorio</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Reporte ejecutivo + reunión</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Mensual</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Avance, riesgos, decisiones requeridas</w:t>
            </w:r>
          </w:p>
        </w:tc>
      </w:tr>
      <w:tr>
        <w:trPr>
          <w:tblHeader w:val="false"/>
        </w:trPr>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2D2D2D"/>
                <w:sz w:val="20"/>
                <w:szCs w:val="20"/>
              </w:rPr>
              <w:t xml:space="preserve">Líderes de área impactada</w:t>
            </w:r>
          </w:p>
        </w:tc>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Reunión 1:1 + comité de seguimiento</w:t>
            </w:r>
          </w:p>
        </w:tc>
        <w:tc>
          <w:tcPr>
            <w:tcW w:type="dxa" w:w="216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Quincenal</w:t>
            </w:r>
          </w:p>
        </w:tc>
        <w:tc>
          <w:tcPr>
            <w:tcW w:type="dxa" w:w="216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Plan de adopción, métricas, soporte a su equipo</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2D2D2D"/>
                <w:sz w:val="20"/>
                <w:szCs w:val="20"/>
              </w:rPr>
              <w:t xml:space="preserve">Equipos afectados / usuarios</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Town hall + boletín + canal interno</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Mensual + ad-hoc</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Qué cambia, cómo se hace, qué se gana, qué resolver dudas</w:t>
            </w:r>
          </w:p>
        </w:tc>
      </w:tr>
      <w:tr>
        <w:trPr>
          <w:tblHeader w:val="false"/>
        </w:trPr>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2D2D2D"/>
                <w:sz w:val="20"/>
                <w:szCs w:val="20"/>
              </w:rPr>
              <w:t xml:space="preserve">Toda la organización</w:t>
            </w:r>
          </w:p>
        </w:tc>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Mensaje del CEO + intranet</w:t>
            </w:r>
          </w:p>
        </w:tc>
        <w:tc>
          <w:tcPr>
            <w:tcW w:type="dxa" w:w="216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Hitos clave</w:t>
            </w:r>
          </w:p>
        </w:tc>
        <w:tc>
          <w:tcPr>
            <w:tcW w:type="dxa" w:w="216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Visión, principios, evidencia de impacto</w:t>
            </w:r>
          </w:p>
        </w:tc>
      </w:tr>
    </w:tbl>
    <w:p>
      <w:pPr>
        <w:spacing w:after="0" w:before="200"/>
      </w:pPr>
      <w:r>
        <w:rPr>
          <w:rFonts w:ascii="Arial" w:cs="Arial" w:eastAsia="Arial" w:hAnsi="Arial"/>
        </w:rPr>
        <w:t xml:space="preserve"/>
      </w:r>
    </w:p>
    <w:p>
      <w:pPr>
        <w:pStyle w:val="Heading2"/>
        <w:spacing w:after="160" w:before="320"/>
      </w:pPr>
      <w:r>
        <w:rPr>
          <w:rFonts w:ascii="Arial" w:cs="Arial" w:eastAsia="Arial" w:hAnsi="Arial"/>
          <w:b/>
          <w:bCs/>
          <w:color w:val="1F3A5F"/>
          <w:sz w:val="28"/>
          <w:szCs w:val="28"/>
        </w:rPr>
        <w:t xml:space="preserve">B.4.3  El "FAQ vivo"</w:t>
      </w:r>
    </w:p>
    <w:p>
      <w:pPr>
        <w:spacing w:after="120" w:before="60" w:line="300"/>
      </w:pPr>
      <w:r>
        <w:rPr>
          <w:rFonts w:ascii="Arial" w:cs="Arial" w:eastAsia="Arial" w:hAnsi="Arial"/>
          <w:color w:val="2D2D2D"/>
          <w:sz w:val="22"/>
          <w:szCs w:val="22"/>
        </w:rPr>
        <w:t xml:space="preserve">Documento público interno con las preguntas reales del personal y respuestas honestas. Se actualiza semanalmente con nuevas preguntas. Es la herramienta más efectiva para neutralizar rumores: cuando un colaborador escucha algo en un pasillo, puede ir al FAQ y verificar. Lo que no está en el FAQ se vuelve sospecha; lo que está, se vuelve hecho.</w:t>
      </w:r>
    </w:p>
    <w:p>
      <w:pPr>
        <w:pStyle w:val="Heading2"/>
        <w:spacing w:after="160" w:before="320"/>
      </w:pPr>
      <w:r>
        <w:rPr>
          <w:rFonts w:ascii="Arial" w:cs="Arial" w:eastAsia="Arial" w:hAnsi="Arial"/>
          <w:b/>
          <w:bCs/>
          <w:color w:val="1F3A5F"/>
          <w:sz w:val="28"/>
          <w:szCs w:val="28"/>
        </w:rPr>
        <w:t xml:space="preserve">B.4.4  Shadow AI: protocolo de uso aceptable y sandbox de experimentación</w:t>
      </w:r>
    </w:p>
    <w:p>
      <w:pPr>
        <w:spacing w:after="120" w:before="60" w:line="300"/>
      </w:pPr>
      <w:r>
        <w:rPr>
          <w:rFonts w:ascii="Arial" w:cs="Arial" w:eastAsia="Arial" w:hAnsi="Arial"/>
          <w:color w:val="2D2D2D"/>
          <w:sz w:val="22"/>
          <w:szCs w:val="22"/>
        </w:rPr>
        <w:t xml:space="preserve">La metodología formal cubre las iniciativas oficiales, pero el mayor riesgo actual no vive ahí. Vive en el "Shadow AI": empleados que adoptan herramientas de IA por su cuenta (asistentes generativos públicos, copilotos de imagen, traductores, agentes de productividad) sin que la organización lo sepa. La pregunta no es si está pasando; es qué tan rápido y con qué consecuencias.</w:t>
      </w:r>
    </w:p>
    <w:p>
      <w:pPr>
        <w:pStyle w:val="Heading3"/>
        <w:spacing w:after="100" w:before="200"/>
      </w:pPr>
      <w:r>
        <w:rPr>
          <w:rFonts w:ascii="Arial" w:cs="Arial" w:eastAsia="Arial" w:hAnsi="Arial"/>
          <w:b/>
          <w:bCs/>
          <w:color w:val="2E75B6"/>
          <w:sz w:val="24"/>
          <w:szCs w:val="24"/>
        </w:rPr>
        <w:t xml:space="preserve">Por qué ocurre</w:t>
      </w:r>
    </w:p>
    <w:p>
      <w:pPr>
        <w:pStyle w:val="ListParagraph"/>
        <w:numPr>
          <w:ilvl w:val="0"/>
          <w:numId w:val="2"/>
        </w:numPr>
        <w:spacing w:after="80" w:before="40" w:line="280"/>
      </w:pPr>
      <w:r>
        <w:rPr>
          <w:rFonts w:ascii="Arial" w:cs="Arial" w:eastAsia="Arial" w:hAnsi="Arial"/>
          <w:b/>
          <w:bCs/>
        </w:rPr>
        <w:t xml:space="preserve">Curiosidad legítima: </w:t>
      </w:r>
      <w:r>
        <w:rPr>
          <w:rFonts w:ascii="Arial" w:cs="Arial" w:eastAsia="Arial" w:hAnsi="Arial"/>
          <w:color w:val="2D2D2D"/>
          <w:sz w:val="22"/>
          <w:szCs w:val="22"/>
        </w:rPr>
        <w:t xml:space="preserve">la persona quiere entender qué hace la herramienta y aprender.</w:t>
      </w:r>
    </w:p>
    <w:p>
      <w:pPr>
        <w:pStyle w:val="ListParagraph"/>
        <w:numPr>
          <w:ilvl w:val="0"/>
          <w:numId w:val="2"/>
        </w:numPr>
        <w:spacing w:after="80" w:before="40" w:line="280"/>
      </w:pPr>
      <w:r>
        <w:rPr>
          <w:rFonts w:ascii="Arial" w:cs="Arial" w:eastAsia="Arial" w:hAnsi="Arial"/>
          <w:b/>
          <w:bCs/>
        </w:rPr>
        <w:t xml:space="preserve">Necesidad real de productividad: </w:t>
      </w:r>
      <w:r>
        <w:rPr>
          <w:rFonts w:ascii="Arial" w:cs="Arial" w:eastAsia="Arial" w:hAnsi="Arial"/>
          <w:color w:val="2D2D2D"/>
          <w:sz w:val="22"/>
          <w:szCs w:val="22"/>
        </w:rPr>
        <w:t xml:space="preserve">la herramienta resuelve hoy un problema que el ciclo formal de adopción tardará en atender.</w:t>
      </w:r>
    </w:p>
    <w:p>
      <w:pPr>
        <w:pStyle w:val="ListParagraph"/>
        <w:numPr>
          <w:ilvl w:val="0"/>
          <w:numId w:val="2"/>
        </w:numPr>
        <w:spacing w:after="80" w:before="40" w:line="280"/>
      </w:pPr>
      <w:r>
        <w:rPr>
          <w:rFonts w:ascii="Arial" w:cs="Arial" w:eastAsia="Arial" w:hAnsi="Arial"/>
          <w:b/>
          <w:bCs/>
        </w:rPr>
        <w:t xml:space="preserve">Miedo al reemplazo invertido: </w:t>
      </w:r>
      <w:r>
        <w:rPr>
          <w:rFonts w:ascii="Arial" w:cs="Arial" w:eastAsia="Arial" w:hAnsi="Arial"/>
          <w:color w:val="2D2D2D"/>
          <w:sz w:val="22"/>
          <w:szCs w:val="22"/>
        </w:rPr>
        <w:t xml:space="preserve">"si no aprendo a usar IA, me reemplazan". El miedo se canaliza en uso clandestino.</w:t>
      </w:r>
    </w:p>
    <w:p>
      <w:pPr>
        <w:pStyle w:val="ListParagraph"/>
        <w:numPr>
          <w:ilvl w:val="0"/>
          <w:numId w:val="2"/>
        </w:numPr>
        <w:spacing w:after="80" w:before="40" w:line="280"/>
      </w:pPr>
      <w:r>
        <w:rPr>
          <w:rFonts w:ascii="Arial" w:cs="Arial" w:eastAsia="Arial" w:hAnsi="Arial"/>
          <w:b/>
          <w:bCs/>
        </w:rPr>
        <w:t xml:space="preserve">Frustración con TI: </w:t>
      </w:r>
      <w:r>
        <w:rPr>
          <w:rFonts w:ascii="Arial" w:cs="Arial" w:eastAsia="Arial" w:hAnsi="Arial"/>
          <w:color w:val="2D2D2D"/>
          <w:sz w:val="22"/>
          <w:szCs w:val="22"/>
        </w:rPr>
        <w:t xml:space="preserve">los procesos formales se perciben lentos o restrictivos; la herramienta personal está a un clic.</w:t>
      </w:r>
    </w:p>
    <w:p>
      <w:pPr>
        <w:pStyle w:val="Heading3"/>
        <w:spacing w:after="100" w:before="200"/>
      </w:pPr>
      <w:r>
        <w:rPr>
          <w:rFonts w:ascii="Arial" w:cs="Arial" w:eastAsia="Arial" w:hAnsi="Arial"/>
          <w:b/>
          <w:bCs/>
          <w:color w:val="2E75B6"/>
          <w:sz w:val="24"/>
          <w:szCs w:val="24"/>
        </w:rPr>
        <w:t xml:space="preserve">Riesgos del Shadow AI no gestionado</w:t>
      </w:r>
    </w:p>
    <w:p>
      <w:pPr>
        <w:pStyle w:val="ListParagraph"/>
        <w:numPr>
          <w:ilvl w:val="0"/>
          <w:numId w:val="2"/>
        </w:numPr>
        <w:spacing w:after="80" w:before="40" w:line="280"/>
      </w:pPr>
      <w:r>
        <w:rPr>
          <w:rFonts w:ascii="Arial" w:cs="Arial" w:eastAsia="Arial" w:hAnsi="Arial"/>
          <w:color w:val="2D2D2D"/>
          <w:sz w:val="22"/>
          <w:szCs w:val="22"/>
        </w:rPr>
        <w:t xml:space="preserve">Fuga de datos: información confidencial, PII o secreto industrial enviada a modelos públicos sin contrato de no-entrenamiento.</w:t>
      </w:r>
    </w:p>
    <w:p>
      <w:pPr>
        <w:pStyle w:val="ListParagraph"/>
        <w:numPr>
          <w:ilvl w:val="0"/>
          <w:numId w:val="2"/>
        </w:numPr>
        <w:spacing w:after="80" w:before="40" w:line="280"/>
      </w:pPr>
      <w:r>
        <w:rPr>
          <w:rFonts w:ascii="Arial" w:cs="Arial" w:eastAsia="Arial" w:hAnsi="Arial"/>
          <w:color w:val="2D2D2D"/>
          <w:sz w:val="22"/>
          <w:szCs w:val="22"/>
        </w:rPr>
        <w:t xml:space="preserve">Decisiones empresariales basadas en outputs no validados, sin trazabilidad ni auditoría.</w:t>
      </w:r>
    </w:p>
    <w:p>
      <w:pPr>
        <w:pStyle w:val="ListParagraph"/>
        <w:numPr>
          <w:ilvl w:val="0"/>
          <w:numId w:val="2"/>
        </w:numPr>
        <w:spacing w:after="80" w:before="40" w:line="280"/>
      </w:pPr>
      <w:r>
        <w:rPr>
          <w:rFonts w:ascii="Arial" w:cs="Arial" w:eastAsia="Arial" w:hAnsi="Arial"/>
          <w:color w:val="2D2D2D"/>
          <w:sz w:val="22"/>
          <w:szCs w:val="22"/>
        </w:rPr>
        <w:t xml:space="preserve">Dependencias críticas en herramientas no aprobadas que pueden cambiar precio, deprecar funcionalidades o cerrar.</w:t>
      </w:r>
    </w:p>
    <w:p>
      <w:pPr>
        <w:pStyle w:val="ListParagraph"/>
        <w:numPr>
          <w:ilvl w:val="0"/>
          <w:numId w:val="2"/>
        </w:numPr>
        <w:spacing w:after="80" w:before="40" w:line="280"/>
      </w:pPr>
      <w:r>
        <w:rPr>
          <w:rFonts w:ascii="Arial" w:cs="Arial" w:eastAsia="Arial" w:hAnsi="Arial"/>
          <w:color w:val="2D2D2D"/>
          <w:sz w:val="22"/>
          <w:szCs w:val="22"/>
        </w:rPr>
        <w:t xml:space="preserve">Sesgos y errores no detectados que se cuelan en entregables que sí afectan a clientes.</w:t>
      </w:r>
    </w:p>
    <w:p>
      <w:pPr>
        <w:pStyle w:val="ListParagraph"/>
        <w:numPr>
          <w:ilvl w:val="0"/>
          <w:numId w:val="2"/>
        </w:numPr>
        <w:spacing w:after="80" w:before="40" w:line="280"/>
      </w:pPr>
      <w:r>
        <w:rPr>
          <w:rFonts w:ascii="Arial" w:cs="Arial" w:eastAsia="Arial" w:hAnsi="Arial"/>
          <w:color w:val="2D2D2D"/>
          <w:sz w:val="22"/>
          <w:szCs w:val="22"/>
        </w:rPr>
        <w:t xml:space="preserve">Cumplimiento regulatorio comprometido: bajo GDPR, EU AI Act u otras, la organización puede ser responsable de uso que ni siquiera autorizó.</w:t>
      </w:r>
    </w:p>
    <w:p>
      <w:pPr>
        <w:pStyle w:val="Heading3"/>
        <w:spacing w:after="100" w:before="200"/>
      </w:pPr>
      <w:r>
        <w:rPr>
          <w:rFonts w:ascii="Arial" w:cs="Arial" w:eastAsia="Arial" w:hAnsi="Arial"/>
          <w:b/>
          <w:bCs/>
          <w:color w:val="2E75B6"/>
          <w:sz w:val="24"/>
          <w:szCs w:val="24"/>
        </w:rPr>
        <w:t xml:space="preserve">La estrategia: prohibir no funciona</w:t>
      </w:r>
    </w:p>
    <w:p>
      <w:pPr>
        <w:spacing w:after="120" w:before="60" w:line="300"/>
      </w:pPr>
      <w:r>
        <w:rPr>
          <w:rFonts w:ascii="Arial" w:cs="Arial" w:eastAsia="Arial" w:hAnsi="Arial"/>
          <w:color w:val="2D2D2D"/>
          <w:sz w:val="22"/>
          <w:szCs w:val="22"/>
        </w:rPr>
        <w:t xml:space="preserve">Prohibir el uso de IA externa fracasa por dos razones. Primera: es imposible de hacer cumplir sin convertir el ambiente laboral en uno de vigilancia. Segunda: empuja el uso a la clandestinidad, donde los riesgos crecen en lugar de reducirse. La estrategia correcta combina un protocolo claro de uso aceptable con un sandbox supervisado que canalice la curiosidad de forma segura.</w:t>
      </w:r>
    </w:p>
    <w:p>
      <w:pPr>
        <w:pStyle w:val="Heading3"/>
        <w:spacing w:after="100" w:before="200"/>
      </w:pPr>
      <w:r>
        <w:rPr>
          <w:rFonts w:ascii="Arial" w:cs="Arial" w:eastAsia="Arial" w:hAnsi="Arial"/>
          <w:b/>
          <w:bCs/>
          <w:color w:val="2E75B6"/>
          <w:sz w:val="24"/>
          <w:szCs w:val="24"/>
        </w:rPr>
        <w:t xml:space="preserve">Protocolo de uso aceptable: tres componentes mínimos</w:t>
      </w:r>
    </w:p>
    <w:p>
      <w:pPr>
        <w:pStyle w:val="ListParagraph"/>
        <w:numPr>
          <w:ilvl w:val="0"/>
          <w:numId w:val="2"/>
        </w:numPr>
        <w:spacing w:after="80" w:before="40" w:line="280"/>
      </w:pPr>
      <w:r>
        <w:rPr>
          <w:rFonts w:ascii="Arial" w:cs="Arial" w:eastAsia="Arial" w:hAnsi="Arial"/>
          <w:b/>
          <w:bCs/>
        </w:rPr>
        <w:t xml:space="preserve">Lista verde: </w:t>
      </w:r>
      <w:r>
        <w:rPr>
          <w:rFonts w:ascii="Arial" w:cs="Arial" w:eastAsia="Arial" w:hAnsi="Arial"/>
          <w:color w:val="2D2D2D"/>
          <w:sz w:val="22"/>
          <w:szCs w:val="22"/>
        </w:rPr>
        <w:t xml:space="preserve">herramientas autorizadas con casos de uso permitidos. Por ejemplo: asistente generativo X autorizado para redacción interna, brainstorming, traducción de textos no confidenciales, prototipado.</w:t>
      </w:r>
    </w:p>
    <w:p>
      <w:pPr>
        <w:pStyle w:val="ListParagraph"/>
        <w:numPr>
          <w:ilvl w:val="0"/>
          <w:numId w:val="2"/>
        </w:numPr>
        <w:spacing w:after="80" w:before="40" w:line="280"/>
      </w:pPr>
      <w:r>
        <w:rPr>
          <w:rFonts w:ascii="Arial" w:cs="Arial" w:eastAsia="Arial" w:hAnsi="Arial"/>
          <w:b/>
          <w:bCs/>
        </w:rPr>
        <w:t xml:space="preserve">Lista roja: </w:t>
      </w:r>
      <w:r>
        <w:rPr>
          <w:rFonts w:ascii="Arial" w:cs="Arial" w:eastAsia="Arial" w:hAnsi="Arial"/>
          <w:color w:val="2D2D2D"/>
          <w:sz w:val="22"/>
          <w:szCs w:val="22"/>
        </w:rPr>
        <w:t xml:space="preserve">prohibiciones explícitas. Por ejemplo: nunca pegar PII de clientes, nunca subir documentos clasificados, nunca usar para decisiones que afecten directamente a personas (crédito, selección, evaluación de desempeño), nunca usar para entregables a clientes sin revisión humana.</w:t>
      </w:r>
    </w:p>
    <w:p>
      <w:pPr>
        <w:pStyle w:val="ListParagraph"/>
        <w:numPr>
          <w:ilvl w:val="0"/>
          <w:numId w:val="2"/>
        </w:numPr>
        <w:spacing w:after="80" w:before="40" w:line="280"/>
      </w:pPr>
      <w:r>
        <w:rPr>
          <w:rFonts w:ascii="Arial" w:cs="Arial" w:eastAsia="Arial" w:hAnsi="Arial"/>
          <w:b/>
          <w:bCs/>
        </w:rPr>
        <w:t xml:space="preserve">Vía de solicitud: </w:t>
      </w:r>
      <w:r>
        <w:rPr>
          <w:rFonts w:ascii="Arial" w:cs="Arial" w:eastAsia="Arial" w:hAnsi="Arial"/>
          <w:color w:val="2D2D2D"/>
          <w:sz w:val="22"/>
          <w:szCs w:val="22"/>
        </w:rPr>
        <w:t xml:space="preserve">mecanismo simple para que un empleado proponga incorporar una nueva herramienta a la lista verde, con tiempo de respuesta comprometido (idealmente menos de 4 semanas). Sin esta vía, la lista roja se vuelve obsoleta.</w:t>
      </w:r>
    </w:p>
    <w:p>
      <w:pPr>
        <w:pStyle w:val="Heading3"/>
        <w:spacing w:after="100" w:before="200"/>
      </w:pPr>
      <w:r>
        <w:rPr>
          <w:rFonts w:ascii="Arial" w:cs="Arial" w:eastAsia="Arial" w:hAnsi="Arial"/>
          <w:b/>
          <w:bCs/>
          <w:color w:val="2E75B6"/>
          <w:sz w:val="24"/>
          <w:szCs w:val="24"/>
        </w:rPr>
        <w:t xml:space="preserve">Sandbox de experimentación libre</w:t>
      </w:r>
    </w:p>
    <w:p>
      <w:pPr>
        <w:spacing w:after="120" w:before="60" w:line="300"/>
      </w:pPr>
      <w:r>
        <w:rPr>
          <w:rFonts w:ascii="Arial" w:cs="Arial" w:eastAsia="Arial" w:hAnsi="Arial"/>
          <w:color w:val="2D2D2D"/>
          <w:sz w:val="22"/>
          <w:szCs w:val="22"/>
        </w:rPr>
        <w:t xml:space="preserve">Espacio supervisado donde los empleados pueden probar herramientas autorizadas con datos sintéticos o anonimizados, reportar lo que descubren y solicitar evaluación formal de aquellas que les parecen valiosas. El sandbox es una inversión pequeña con tres efectos potentes:</w:t>
      </w:r>
    </w:p>
    <w:p>
      <w:pPr>
        <w:pStyle w:val="ListParagraph"/>
        <w:numPr>
          <w:ilvl w:val="0"/>
          <w:numId w:val="2"/>
        </w:numPr>
        <w:spacing w:after="80" w:before="40" w:line="280"/>
      </w:pPr>
      <w:r>
        <w:rPr>
          <w:rFonts w:ascii="Arial" w:cs="Arial" w:eastAsia="Arial" w:hAnsi="Arial"/>
          <w:color w:val="2D2D2D"/>
          <w:sz w:val="22"/>
          <w:szCs w:val="22"/>
        </w:rPr>
        <w:t xml:space="preserve">Convierte la curiosidad individual en aprendizaje organizacional: lo que aprende una persona se documenta y se comparte.</w:t>
      </w:r>
    </w:p>
    <w:p>
      <w:pPr>
        <w:pStyle w:val="ListParagraph"/>
        <w:numPr>
          <w:ilvl w:val="0"/>
          <w:numId w:val="2"/>
        </w:numPr>
        <w:spacing w:after="80" w:before="40" w:line="280"/>
      </w:pPr>
      <w:r>
        <w:rPr>
          <w:rFonts w:ascii="Arial" w:cs="Arial" w:eastAsia="Arial" w:hAnsi="Arial"/>
          <w:color w:val="2D2D2D"/>
          <w:sz w:val="22"/>
          <w:szCs w:val="22"/>
        </w:rPr>
        <w:t xml:space="preserve">Reduce dramáticamente la fuga de datos: el empleado tiene un lugar legítimo para experimentar sin tener que llevarse data real a una herramienta personal.</w:t>
      </w:r>
    </w:p>
    <w:p>
      <w:pPr>
        <w:pStyle w:val="ListParagraph"/>
        <w:numPr>
          <w:ilvl w:val="0"/>
          <w:numId w:val="2"/>
        </w:numPr>
        <w:spacing w:after="80" w:before="40" w:line="280"/>
      </w:pPr>
      <w:r>
        <w:rPr>
          <w:rFonts w:ascii="Arial" w:cs="Arial" w:eastAsia="Arial" w:hAnsi="Arial"/>
          <w:color w:val="2D2D2D"/>
          <w:sz w:val="22"/>
          <w:szCs w:val="22"/>
        </w:rPr>
        <w:t xml:space="preserve">Identifica casos de uso emergentes que el equipo de innovación no había detectado: el sandbox es una fuente continua de demanda real para el portafolio del Módulo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
              <w:left w:val="single" w:color="1F3A5F" w:sz="18"/>
              <w:bottom w:val="single" w:color="1F3A5F" w:sz="1"/>
              <w:right w:val="single" w:color="1F3A5F" w:sz="1"/>
            </w:tcBorders>
            <w:shd w:fill="F7F9FB" w:val="clear"/>
            <w:tcMar>
              <w:top w:type="dxa" w:w="160"/>
              <w:left w:type="dxa" w:w="200"/>
              <w:bottom w:type="dxa" w:w="160"/>
              <w:right w:type="dxa" w:w="200"/>
            </w:tcMar>
          </w:tcPr>
          <w:p>
            <w:pPr>
              <w:spacing w:after="80" w:before="0"/>
            </w:pPr>
            <w:r>
              <w:rPr>
                <w:rFonts w:ascii="Arial" w:cs="Arial" w:eastAsia="Arial" w:hAnsi="Arial"/>
                <w:b/>
                <w:bCs/>
                <w:color w:val="1F3A5F"/>
                <w:sz w:val="22"/>
                <w:szCs w:val="22"/>
              </w:rPr>
              <w:t xml:space="preserve">Un equilibrio activo, no una prohibición pasiva</w:t>
            </w:r>
          </w:p>
          <w:p>
            <w:pPr>
              <w:spacing w:after="0" w:before="0" w:line="280"/>
            </w:pPr>
            <w:r>
              <w:rPr>
                <w:rFonts w:ascii="Arial" w:cs="Arial" w:eastAsia="Arial" w:hAnsi="Arial"/>
                <w:color w:val="2D2D2D"/>
                <w:sz w:val="22"/>
                <w:szCs w:val="22"/>
              </w:rPr>
              <w:t xml:space="preserve">El Shadow AI se gestiona reconociendo que la curiosidad y la presión de productividad son legítimas. La organización ofrece un canal claro y atractivo (lista verde + sandbox) y, a cambio, exige disciplina en lo que está fuera (lista roja). Quien intenta solo prohibir, pierde la conversación. Quien solo permite, pierde el control.</w:t>
            </w:r>
          </w:p>
        </w:tc>
      </w:tr>
    </w:tbl>
    <w:p>
      <w:pPr>
        <w:pStyle w:val="Heading1"/>
        <w:pageBreakBefore/>
        <w:spacing w:after="240" w:before="480"/>
      </w:pPr>
      <w:r>
        <w:rPr>
          <w:rFonts w:ascii="Arial" w:cs="Arial" w:eastAsia="Arial" w:hAnsi="Arial"/>
          <w:b/>
          <w:bCs/>
          <w:color w:val="1F3A5F"/>
          <w:sz w:val="36"/>
          <w:szCs w:val="36"/>
        </w:rPr>
        <w:t xml:space="preserve">B.5  El "miedo al reemplazo": framework dedicado</w:t>
      </w:r>
    </w:p>
    <w:p>
      <w:pPr>
        <w:spacing w:after="180" w:before="120" w:line="320"/>
      </w:pPr>
      <w:r>
        <w:rPr>
          <w:rFonts w:ascii="Arial" w:cs="Arial" w:eastAsia="Arial" w:hAnsi="Arial"/>
          <w:color w:val="2D2D2D"/>
          <w:sz w:val="24"/>
          <w:szCs w:val="24"/>
        </w:rPr>
        <w:t xml:space="preserve">Es el factor que más subestiman las metodologías clásicas y el que más mata proyectos de IA en silencio. La pregunta no es si las personas tienen miedo de ser reemplazadas; la pregunta es qué tan fundado es ese miedo en cada caso, qué se les debe a las personas afectadas y cómo se conduce la conversación honestamente. Este capítulo entrega el framework para tratarlo con rigor.</w:t>
      </w:r>
    </w:p>
    <w:p>
      <w:pPr>
        <w:pStyle w:val="Heading2"/>
        <w:spacing w:after="160" w:before="320"/>
      </w:pPr>
      <w:r>
        <w:rPr>
          <w:rFonts w:ascii="Arial" w:cs="Arial" w:eastAsia="Arial" w:hAnsi="Arial"/>
          <w:b/>
          <w:bCs/>
          <w:color w:val="1F3A5F"/>
          <w:sz w:val="28"/>
          <w:szCs w:val="28"/>
        </w:rPr>
        <w:t xml:space="preserve">B.5.1  El framework: automatización + aumentación + sustitución</w:t>
      </w:r>
    </w:p>
    <w:p>
      <w:pPr>
        <w:spacing w:after="120" w:before="60" w:line="300"/>
      </w:pPr>
      <w:r>
        <w:rPr>
          <w:rFonts w:ascii="Arial" w:cs="Arial" w:eastAsia="Arial" w:hAnsi="Arial"/>
          <w:color w:val="2D2D2D"/>
          <w:sz w:val="22"/>
          <w:szCs w:val="22"/>
        </w:rPr>
        <w:t xml:space="preserve">Toda iniciativa de IA cae en alguno de tres modos respecto del trabajo humano. Confundirlos en la comunicación es la principal fuente de pérdida de confianza.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3640"/>
        <w:gridCol w:w="3640"/>
      </w:tblGrid>
      <w:tr>
        <w:trPr>
          <w:tblHeader/>
        </w:trPr>
        <w:tc>
          <w:tcPr>
            <w:tcW w:type="dxa" w:w="208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Modo</w:t>
            </w:r>
          </w:p>
        </w:tc>
        <w:tc>
          <w:tcPr>
            <w:tcW w:type="dxa" w:w="364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Qué hace con el trabajo humano</w:t>
            </w:r>
          </w:p>
        </w:tc>
        <w:tc>
          <w:tcPr>
            <w:tcW w:type="dxa" w:w="364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Mensaje honesto</w:t>
            </w:r>
          </w:p>
        </w:tc>
      </w:tr>
      <w:tr>
        <w:trPr>
          <w:tblHeader w:val="false"/>
        </w:trPr>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Automatización</w:t>
            </w:r>
          </w:p>
        </w:tc>
        <w:tc>
          <w:tcPr>
            <w:tcW w:type="dxa" w:w="3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Reemplaza tareas o pasos específicos dentro de un puesto, liberando tiempo para otras tareas. El puesto y la persona persisten.</w:t>
            </w:r>
          </w:p>
        </w:tc>
        <w:tc>
          <w:tcPr>
            <w:tcW w:type="dxa" w:w="3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"Esta tarea ya no la harás manualmente. Tu rol gana espacio para X, Y, Z."</w:t>
            </w:r>
          </w:p>
        </w:tc>
      </w:tr>
      <w:tr>
        <w:trPr>
          <w:tblHeader w:val="false"/>
        </w:trPr>
        <w:tc>
          <w:tcPr>
            <w:tcW w:type="dxa" w:w="20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Aumentación</w:t>
            </w:r>
          </w:p>
        </w:tc>
        <w:tc>
          <w:tcPr>
            <w:tcW w:type="dxa" w:w="36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Asiste al trabajo humano elevando su calidad o velocidad. La persona sigue tomando decisiones; el sistema le da mejores insumos.</w:t>
            </w:r>
          </w:p>
        </w:tc>
        <w:tc>
          <w:tcPr>
            <w:tcW w:type="dxa" w:w="36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"Sigues tomando la decisión. La IA te da más información, mejor priorizada, más rápido."</w:t>
            </w:r>
          </w:p>
        </w:tc>
      </w:tr>
      <w:tr>
        <w:trPr>
          <w:tblHeader w:val="false"/>
        </w:trPr>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Sustitución</w:t>
            </w:r>
          </w:p>
        </w:tc>
        <w:tc>
          <w:tcPr>
            <w:tcW w:type="dxa" w:w="3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Reemplaza el puesto completo o reduce el headcount necesario. Implica reorganización, recolocación o salida de personas.</w:t>
            </w:r>
          </w:p>
        </w:tc>
        <w:tc>
          <w:tcPr>
            <w:tcW w:type="dxa" w:w="3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"Este puesto cambia significativamente o desaparece. Estos son los planes y el acompañamiento."</w:t>
            </w:r>
          </w:p>
        </w:tc>
      </w:tr>
    </w:tbl>
    <w:p>
      <w:pPr>
        <w:spacing w:after="0" w:before="200"/>
      </w:pPr>
      <w:r>
        <w:rPr>
          <w:rFonts w:ascii="Arial" w:cs="Arial" w:eastAsia="Arial" w:hAnsi="Arial"/>
        </w:rPr>
        <w:t xml:space="preserve"/>
      </w:r>
    </w:p>
    <w:p>
      <w:pPr>
        <w:spacing w:after="120" w:before="60" w:line="300"/>
      </w:pPr>
      <w:r>
        <w:rPr>
          <w:rFonts w:ascii="Arial" w:cs="Arial" w:eastAsia="Arial" w:hAnsi="Arial"/>
          <w:color w:val="2D2D2D"/>
          <w:sz w:val="22"/>
          <w:szCs w:val="22"/>
        </w:rPr>
        <w:t xml:space="preserve">El primer ejercicio del proyecto, antes de comunicar a los afectados, es clasificar el caso en uno de los tres modos. La clasificación debe hacerse con honestidad, no con conveniencia: muchas iniciativas que se anuncian como "aumentación" terminan operando como "sustitución" parcial, y la inconsistencia es el detonante principal de la desconfianza.</w:t>
      </w:r>
    </w:p>
    <w:p>
      <w:pPr>
        <w:pStyle w:val="Heading2"/>
        <w:spacing w:after="160" w:before="320"/>
      </w:pPr>
      <w:r>
        <w:rPr>
          <w:rFonts w:ascii="Arial" w:cs="Arial" w:eastAsia="Arial" w:hAnsi="Arial"/>
          <w:b/>
          <w:bCs/>
          <w:color w:val="1F3A5F"/>
          <w:sz w:val="28"/>
          <w:szCs w:val="28"/>
        </w:rPr>
        <w:t xml:space="preserve">B.5.2  Patrones de comunicación por escenario</w:t>
      </w:r>
    </w:p>
    <w:p>
      <w:pPr>
        <w:pStyle w:val="Heading3"/>
        <w:spacing w:after="100" w:before="200"/>
      </w:pPr>
      <w:r>
        <w:rPr>
          <w:rFonts w:ascii="Arial" w:cs="Arial" w:eastAsia="Arial" w:hAnsi="Arial"/>
          <w:b/>
          <w:bCs/>
          <w:color w:val="2E75B6"/>
          <w:sz w:val="24"/>
          <w:szCs w:val="24"/>
        </w:rPr>
        <w:t xml:space="preserve">Si el caso es automatización</w:t>
      </w:r>
    </w:p>
    <w:p>
      <w:pPr>
        <w:spacing w:after="120" w:before="60" w:line="300"/>
      </w:pPr>
      <w:r>
        <w:rPr>
          <w:rFonts w:ascii="Arial" w:cs="Arial" w:eastAsia="Arial" w:hAnsi="Arial"/>
          <w:color w:val="2D2D2D"/>
          <w:sz w:val="22"/>
          <w:szCs w:val="22"/>
        </w:rPr>
        <w:t xml:space="preserve">Se comunica como liberación de tiempo y elevación del valor del rol. La acción concreta es co-diseñar con el equipo afectado en qué se invertirá el tiempo recuperado. Si no hay propuesta clara para ese tiempo, el mensaje suena vacío. Compromiso típico: las horas ahorradas se convierten en horas de tareas más sustantivas, formación o proyectos de mejora, no en aumento del volumen exigido.</w:t>
      </w:r>
    </w:p>
    <w:p>
      <w:pPr>
        <w:pStyle w:val="Heading3"/>
        <w:spacing w:after="100" w:before="200"/>
      </w:pPr>
      <w:r>
        <w:rPr>
          <w:rFonts w:ascii="Arial" w:cs="Arial" w:eastAsia="Arial" w:hAnsi="Arial"/>
          <w:b/>
          <w:bCs/>
          <w:color w:val="2E75B6"/>
          <w:sz w:val="24"/>
          <w:szCs w:val="24"/>
        </w:rPr>
        <w:t xml:space="preserve">Si el caso es aumentación</w:t>
      </w:r>
    </w:p>
    <w:p>
      <w:pPr>
        <w:spacing w:after="120" w:before="60" w:line="300"/>
      </w:pPr>
      <w:r>
        <w:rPr>
          <w:rFonts w:ascii="Arial" w:cs="Arial" w:eastAsia="Arial" w:hAnsi="Arial"/>
          <w:color w:val="2D2D2D"/>
          <w:sz w:val="22"/>
          <w:szCs w:val="22"/>
        </w:rPr>
        <w:t xml:space="preserve">Se comunica como copiloto, no como supervisor. La persona conserva la decisión final y el sistema entrega una recomendación trazable que puede aceptar, ajustar o ignorar. La métrica clave que se comunica no es "cuánto sigue la persona la recomendación" sino "cuánto valor agrega el copiloto". El override humano debe ser fácil, sin penalización social.</w:t>
      </w:r>
    </w:p>
    <w:p>
      <w:pPr>
        <w:pStyle w:val="Heading3"/>
        <w:spacing w:after="100" w:before="200"/>
      </w:pPr>
      <w:r>
        <w:rPr>
          <w:rFonts w:ascii="Arial" w:cs="Arial" w:eastAsia="Arial" w:hAnsi="Arial"/>
          <w:b/>
          <w:bCs/>
          <w:color w:val="2E75B6"/>
          <w:sz w:val="24"/>
          <w:szCs w:val="24"/>
        </w:rPr>
        <w:t xml:space="preserve">Si el caso es sustitución</w:t>
      </w:r>
    </w:p>
    <w:p>
      <w:pPr>
        <w:spacing w:after="120" w:before="60" w:line="300"/>
      </w:pPr>
      <w:r>
        <w:rPr>
          <w:rFonts w:ascii="Arial" w:cs="Arial" w:eastAsia="Arial" w:hAnsi="Arial"/>
          <w:color w:val="2D2D2D"/>
          <w:sz w:val="22"/>
          <w:szCs w:val="22"/>
        </w:rPr>
        <w:t xml:space="preserve">Se comunica con tiempo, plan claro y acompañamiento. Sustitución sin plan de transición es la peor combinación posible: combina el peor mensaje con la peor ejecución. El mensaje incluye fecha, alternativas (recolocación, formación, salida acompañada), criterios de elegibilidad y mecanismos de apoyo. Cualquier omisión se llena con rumor. Se comunica con respeto por la dignidad de la persona afectada y se evita el lenguaje deshumanizante ("recursos", "FTEs", "optimización de plantilla").</w:t>
      </w:r>
    </w:p>
    <w:p>
      <w:pPr>
        <w:pStyle w:val="Heading2"/>
        <w:spacing w:after="160" w:before="320"/>
      </w:pPr>
      <w:r>
        <w:rPr>
          <w:rFonts w:ascii="Arial" w:cs="Arial" w:eastAsia="Arial" w:hAnsi="Arial"/>
          <w:b/>
          <w:bCs/>
          <w:color w:val="1F3A5F"/>
          <w:sz w:val="28"/>
          <w:szCs w:val="28"/>
        </w:rPr>
        <w:t xml:space="preserve">B.5.3  Rol del líder de área</w:t>
      </w:r>
    </w:p>
    <w:p>
      <w:pPr>
        <w:spacing w:after="120" w:before="60" w:line="300"/>
      </w:pPr>
      <w:r>
        <w:rPr>
          <w:rFonts w:ascii="Arial" w:cs="Arial" w:eastAsia="Arial" w:hAnsi="Arial"/>
          <w:color w:val="2D2D2D"/>
          <w:sz w:val="22"/>
          <w:szCs w:val="22"/>
        </w:rPr>
        <w:t xml:space="preserve">El sponsor ejecutivo da la visión; el líder de área lleva la conversación a sus equipos. Ese líder es el factor decisivo: una buena comunicación corporativa se neutraliza si el jefe directo no la sostiene; una comunicación corporativa mediocre se rescata si el jefe directo la convierte en conversación honesta. El programa debe equipar al líder con tres cosas: una versión clara y propia del mensaje, un guión para conversaciones difíciles uno-a-uno y la autoridad para responder dudas con honestidad sin tener que esperar autorización.</w:t>
      </w:r>
    </w:p>
    <w:p>
      <w:pPr>
        <w:pStyle w:val="Heading2"/>
        <w:spacing w:after="160" w:before="320"/>
      </w:pPr>
      <w:r>
        <w:rPr>
          <w:rFonts w:ascii="Arial" w:cs="Arial" w:eastAsia="Arial" w:hAnsi="Arial"/>
          <w:b/>
          <w:bCs/>
          <w:color w:val="1F3A5F"/>
          <w:sz w:val="28"/>
          <w:szCs w:val="28"/>
        </w:rPr>
        <w:t xml:space="preserve">B.5.4  Principios éticos y compromisos de la organización</w:t>
      </w:r>
    </w:p>
    <w:p>
      <w:pPr>
        <w:spacing w:after="120" w:before="60" w:line="300"/>
      </w:pPr>
      <w:r>
        <w:rPr>
          <w:rFonts w:ascii="Arial" w:cs="Arial" w:eastAsia="Arial" w:hAnsi="Arial"/>
          <w:color w:val="2D2D2D"/>
          <w:sz w:val="22"/>
          <w:szCs w:val="22"/>
        </w:rPr>
        <w:t xml:space="preserve">Los proyectos de IA cuyo impacto humano es significativo deben hacer compromisos explícitos, públicos al interior y verificables. Los siete compromisos mínimos:</w:t>
      </w:r>
    </w:p>
    <w:p>
      <w:pPr>
        <w:pStyle w:val="ListParagraph"/>
        <w:numPr>
          <w:ilvl w:val="0"/>
          <w:numId w:val="2"/>
        </w:numPr>
        <w:spacing w:after="80" w:before="40" w:line="280"/>
      </w:pPr>
      <w:r>
        <w:rPr>
          <w:rFonts w:ascii="Arial" w:cs="Arial" w:eastAsia="Arial" w:hAnsi="Arial"/>
          <w:b/>
          <w:bCs/>
        </w:rPr>
        <w:t xml:space="preserve">Honestidad: </w:t>
      </w:r>
      <w:r>
        <w:rPr>
          <w:rFonts w:ascii="Arial" w:cs="Arial" w:eastAsia="Arial" w:hAnsi="Arial"/>
          <w:color w:val="2D2D2D"/>
          <w:sz w:val="22"/>
          <w:szCs w:val="22"/>
        </w:rPr>
        <w:t xml:space="preserve">se comunica el modo real (automatización, aumentación o sustitución), no el más vendible.</w:t>
      </w:r>
    </w:p>
    <w:p>
      <w:pPr>
        <w:pStyle w:val="ListParagraph"/>
        <w:numPr>
          <w:ilvl w:val="0"/>
          <w:numId w:val="2"/>
        </w:numPr>
        <w:spacing w:after="80" w:before="40" w:line="280"/>
      </w:pPr>
      <w:r>
        <w:rPr>
          <w:rFonts w:ascii="Arial" w:cs="Arial" w:eastAsia="Arial" w:hAnsi="Arial"/>
          <w:b/>
          <w:bCs/>
        </w:rPr>
        <w:t xml:space="preserve">Anticipación: </w:t>
      </w:r>
      <w:r>
        <w:rPr>
          <w:rFonts w:ascii="Arial" w:cs="Arial" w:eastAsia="Arial" w:hAnsi="Arial"/>
          <w:color w:val="2D2D2D"/>
          <w:sz w:val="22"/>
          <w:szCs w:val="22"/>
        </w:rPr>
        <w:t xml:space="preserve">se comunica antes de que el cambio sea inminente, dejando tiempo para reaccionar.</w:t>
      </w:r>
    </w:p>
    <w:p>
      <w:pPr>
        <w:pStyle w:val="ListParagraph"/>
        <w:numPr>
          <w:ilvl w:val="0"/>
          <w:numId w:val="2"/>
        </w:numPr>
        <w:spacing w:after="80" w:before="40" w:line="280"/>
      </w:pPr>
      <w:r>
        <w:rPr>
          <w:rFonts w:ascii="Arial" w:cs="Arial" w:eastAsia="Arial" w:hAnsi="Arial"/>
          <w:b/>
          <w:bCs/>
        </w:rPr>
        <w:t xml:space="preserve">Acompañamiento: </w:t>
      </w:r>
      <w:r>
        <w:rPr>
          <w:rFonts w:ascii="Arial" w:cs="Arial" w:eastAsia="Arial" w:hAnsi="Arial"/>
          <w:color w:val="2D2D2D"/>
          <w:sz w:val="22"/>
          <w:szCs w:val="22"/>
        </w:rPr>
        <w:t xml:space="preserve">toda persona impactada significativamente recibe plan de transición individual.</w:t>
      </w:r>
    </w:p>
    <w:p>
      <w:pPr>
        <w:pStyle w:val="ListParagraph"/>
        <w:numPr>
          <w:ilvl w:val="0"/>
          <w:numId w:val="2"/>
        </w:numPr>
        <w:spacing w:after="80" w:before="40" w:line="280"/>
      </w:pPr>
      <w:r>
        <w:rPr>
          <w:rFonts w:ascii="Arial" w:cs="Arial" w:eastAsia="Arial" w:hAnsi="Arial"/>
          <w:b/>
          <w:bCs/>
        </w:rPr>
        <w:t xml:space="preserve">Reciclaje y recolocación: </w:t>
      </w:r>
      <w:r>
        <w:rPr>
          <w:rFonts w:ascii="Arial" w:cs="Arial" w:eastAsia="Arial" w:hAnsi="Arial"/>
          <w:color w:val="2D2D2D"/>
          <w:sz w:val="22"/>
          <w:szCs w:val="22"/>
        </w:rPr>
        <w:t xml:space="preserve">se prioriza la recolocación interna sobre la salida; la salida se acompaña con condiciones dignas.</w:t>
      </w:r>
    </w:p>
    <w:p>
      <w:pPr>
        <w:pStyle w:val="ListParagraph"/>
        <w:numPr>
          <w:ilvl w:val="0"/>
          <w:numId w:val="2"/>
        </w:numPr>
        <w:spacing w:after="80" w:before="40" w:line="280"/>
      </w:pPr>
      <w:r>
        <w:rPr>
          <w:rFonts w:ascii="Arial" w:cs="Arial" w:eastAsia="Arial" w:hAnsi="Arial"/>
          <w:b/>
          <w:bCs/>
        </w:rPr>
        <w:t xml:space="preserve">Transparencia algorítmica: </w:t>
      </w:r>
      <w:r>
        <w:rPr>
          <w:rFonts w:ascii="Arial" w:cs="Arial" w:eastAsia="Arial" w:hAnsi="Arial"/>
          <w:color w:val="2D2D2D"/>
          <w:sz w:val="22"/>
          <w:szCs w:val="22"/>
        </w:rPr>
        <w:t xml:space="preserve">la persona afectada por una decisión del sistema tiene derecho a explicación y a apelación.</w:t>
      </w:r>
    </w:p>
    <w:p>
      <w:pPr>
        <w:pStyle w:val="ListParagraph"/>
        <w:numPr>
          <w:ilvl w:val="0"/>
          <w:numId w:val="2"/>
        </w:numPr>
        <w:spacing w:after="80" w:before="40" w:line="280"/>
      </w:pPr>
      <w:r>
        <w:rPr>
          <w:rFonts w:ascii="Arial" w:cs="Arial" w:eastAsia="Arial" w:hAnsi="Arial"/>
          <w:b/>
          <w:bCs/>
        </w:rPr>
        <w:t xml:space="preserve">No-discriminación: </w:t>
      </w:r>
      <w:r>
        <w:rPr>
          <w:rFonts w:ascii="Arial" w:cs="Arial" w:eastAsia="Arial" w:hAnsi="Arial"/>
          <w:color w:val="2D2D2D"/>
          <w:sz w:val="22"/>
          <w:szCs w:val="22"/>
        </w:rPr>
        <w:t xml:space="preserve">auditorías de equidad obligatorias en sistemas que deciden sobre personas.</w:t>
      </w:r>
    </w:p>
    <w:p>
      <w:pPr>
        <w:pStyle w:val="ListParagraph"/>
        <w:numPr>
          <w:ilvl w:val="0"/>
          <w:numId w:val="2"/>
        </w:numPr>
        <w:spacing w:after="80" w:before="40" w:line="280"/>
      </w:pPr>
      <w:r>
        <w:rPr>
          <w:rFonts w:ascii="Arial" w:cs="Arial" w:eastAsia="Arial" w:hAnsi="Arial"/>
          <w:b/>
          <w:bCs/>
        </w:rPr>
        <w:t xml:space="preserve">Reversibilidad operativa: </w:t>
      </w:r>
      <w:r>
        <w:rPr>
          <w:rFonts w:ascii="Arial" w:cs="Arial" w:eastAsia="Arial" w:hAnsi="Arial"/>
          <w:color w:val="2D2D2D"/>
          <w:sz w:val="22"/>
          <w:szCs w:val="22"/>
        </w:rPr>
        <w:t xml:space="preserve">durante la transición, la opción manual se mantiene disponible y sin penalización.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
              <w:left w:val="single" w:color="1F3A5F" w:sz="18"/>
              <w:bottom w:val="single" w:color="1F3A5F" w:sz="1"/>
              <w:right w:val="single" w:color="1F3A5F" w:sz="1"/>
            </w:tcBorders>
            <w:shd w:fill="F7F9FB" w:val="clear"/>
            <w:tcMar>
              <w:top w:type="dxa" w:w="160"/>
              <w:left w:type="dxa" w:w="200"/>
              <w:bottom w:type="dxa" w:w="160"/>
              <w:right w:type="dxa" w:w="200"/>
            </w:tcMar>
          </w:tcPr>
          <w:p>
            <w:pPr>
              <w:spacing w:after="80" w:before="0"/>
            </w:pPr>
            <w:r>
              <w:rPr>
                <w:rFonts w:ascii="Arial" w:cs="Arial" w:eastAsia="Arial" w:hAnsi="Arial"/>
                <w:b/>
                <w:bCs/>
                <w:color w:val="1F3A5F"/>
                <w:sz w:val="22"/>
                <w:szCs w:val="22"/>
              </w:rPr>
              <w:t xml:space="preserve">Por qué los compromisos importan</w:t>
            </w:r>
          </w:p>
          <w:p>
            <w:pPr>
              <w:spacing w:after="0" w:before="0" w:line="280"/>
            </w:pPr>
            <w:r>
              <w:rPr>
                <w:rFonts w:ascii="Arial" w:cs="Arial" w:eastAsia="Arial" w:hAnsi="Arial"/>
                <w:color w:val="2D2D2D"/>
                <w:sz w:val="22"/>
                <w:szCs w:val="22"/>
              </w:rPr>
              <w:t xml:space="preserve">El argumento práctico: la confianza erosionada es muy costosa de reconstruir y se traduce directamente en menor adopción de la próxima iniciativa de IA. El argumento ético: las personas no son recursos optimizables; el respeto por su dignidad y por los acuerdos institucionales con ellas es condición de cualquier transformación legítima.</w:t>
            </w:r>
          </w:p>
        </w:tc>
      </w:tr>
    </w:tbl>
    <w:p>
      <w:pPr>
        <w:pStyle w:val="Heading1"/>
        <w:pageBreakBefore/>
        <w:spacing w:after="240" w:before="480"/>
      </w:pPr>
      <w:r>
        <w:rPr>
          <w:rFonts w:ascii="Arial" w:cs="Arial" w:eastAsia="Arial" w:hAnsi="Arial"/>
          <w:b/>
          <w:bCs/>
          <w:color w:val="1F3A5F"/>
          <w:sz w:val="36"/>
          <w:szCs w:val="36"/>
        </w:rPr>
        <w:t xml:space="preserve">B.6  Diseño de flujos humano-IA</w:t>
      </w:r>
    </w:p>
    <w:p>
      <w:pPr>
        <w:spacing w:after="180" w:before="120" w:line="320"/>
      </w:pPr>
      <w:r>
        <w:rPr>
          <w:rFonts w:ascii="Arial" w:cs="Arial" w:eastAsia="Arial" w:hAnsi="Arial"/>
          <w:color w:val="2D2D2D"/>
          <w:sz w:val="24"/>
          <w:szCs w:val="24"/>
        </w:rPr>
        <w:t xml:space="preserve">Cómo se reparten las decisiones entre la persona y el sistema define la experiencia del usuario, la calidad de los resultados y la confianza en la solución. Cuatro patrones cubren la gran mayoría de casos.</w:t>
      </w:r>
    </w:p>
    <w:p>
      <w:pPr>
        <w:pStyle w:val="Heading2"/>
        <w:spacing w:after="160" w:before="320"/>
      </w:pPr>
      <w:r>
        <w:rPr>
          <w:rFonts w:ascii="Arial" w:cs="Arial" w:eastAsia="Arial" w:hAnsi="Arial"/>
          <w:b/>
          <w:bCs/>
          <w:color w:val="1F3A5F"/>
          <w:sz w:val="28"/>
          <w:szCs w:val="28"/>
        </w:rPr>
        <w:t xml:space="preserve">B.6.1  Los cuatro patrones de interacción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80"/>
        <w:gridCol w:w="2480"/>
        <w:gridCol w:w="2500"/>
        <w:gridCol w:w="2500"/>
      </w:tblGrid>
      <w:tr>
        <w:trPr>
          <w:tblHeader/>
        </w:trPr>
        <w:tc>
          <w:tcPr>
            <w:tcW w:type="dxa" w:w="188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Patrón</w:t>
            </w:r>
          </w:p>
        </w:tc>
        <w:tc>
          <w:tcPr>
            <w:tcW w:type="dxa" w:w="248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Cómo opera</w:t>
            </w:r>
          </w:p>
        </w:tc>
        <w:tc>
          <w:tcPr>
            <w:tcW w:type="dxa" w:w="250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Cuándo aplica</w:t>
            </w:r>
          </w:p>
        </w:tc>
        <w:tc>
          <w:tcPr>
            <w:tcW w:type="dxa" w:w="250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Riesgo principal</w:t>
            </w:r>
          </w:p>
        </w:tc>
      </w:tr>
      <w:tr>
        <w:trPr>
          <w:tblHeader w:val="false"/>
        </w:trPr>
        <w:tc>
          <w:tcPr>
            <w:tcW w:type="dxa" w:w="1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Asistente</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La IA responde a peticiones del humano. La persona inicia, la IA contesta. Toda decisión es del humano.</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Búsqueda, redacción asistida, análisis exploratorio. Bajo blast radius.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Subutilización por desconocimiento de capacidades</w:t>
            </w:r>
          </w:p>
        </w:tc>
      </w:tr>
      <w:tr>
        <w:trPr>
          <w:tblHeader w:val="false"/>
        </w:trPr>
        <w:tc>
          <w:tcPr>
            <w:tcW w:type="dxa" w:w="18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Copiloto</w:t>
            </w:r>
          </w:p>
        </w:tc>
        <w:tc>
          <w:tcPr>
            <w:tcW w:type="dxa" w:w="24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La IA ofrece sugerencias en tiempo real durante el flujo de trabajo. El humano acepta, modifica o ignora.</w:t>
            </w:r>
          </w:p>
        </w:tc>
        <w:tc>
          <w:tcPr>
            <w:tcW w:type="dxa" w:w="25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Decisiones repetitivas con valor en velocidad o calidad. Riesgo medio.</w:t>
            </w:r>
          </w:p>
        </w:tc>
        <w:tc>
          <w:tcPr>
            <w:tcW w:type="dxa" w:w="25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Automation bias: aceptar sin verificar</w:t>
            </w:r>
          </w:p>
        </w:tc>
      </w:tr>
      <w:tr>
        <w:trPr>
          <w:tblHeader w:val="false"/>
        </w:trPr>
        <w:tc>
          <w:tcPr>
            <w:tcW w:type="dxa" w:w="1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Agente con override</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La IA ejecuta tareas multi-paso. El humano supervisa y puede intervenir en puntos de control.</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Procesos definidos, alta volumetría, valor en autonomía.</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Acciones no autorizadas o errores en cadena</w:t>
            </w:r>
          </w:p>
        </w:tc>
      </w:tr>
      <w:tr>
        <w:trPr>
          <w:tblHeader w:val="false"/>
        </w:trPr>
        <w:tc>
          <w:tcPr>
            <w:tcW w:type="dxa" w:w="18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Decisor con auditor humano</w:t>
            </w:r>
          </w:p>
        </w:tc>
        <w:tc>
          <w:tcPr>
            <w:tcW w:type="dxa" w:w="24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La IA toma decisiones automáticas. Auditoría humana sobre muestras o sobre alertas.</w:t>
            </w:r>
          </w:p>
        </w:tc>
        <w:tc>
          <w:tcPr>
            <w:tcW w:type="dxa" w:w="25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Volumen alto, casos demostrados de bajo riesgo, decisiones reversibles.</w:t>
            </w:r>
          </w:p>
        </w:tc>
        <w:tc>
          <w:tcPr>
            <w:tcW w:type="dxa" w:w="25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Pérdida de capacidad humana de decisión, drift no detectado</w:t>
            </w:r>
          </w:p>
        </w:tc>
      </w:tr>
    </w:tbl>
    <w:p>
      <w:pPr>
        <w:spacing w:after="0" w:before="240"/>
      </w:pPr>
      <w:r>
        <w:rPr>
          <w:rFonts w:ascii="Arial" w:cs="Arial" w:eastAsia="Arial" w:hAnsi="Arial"/>
        </w:rPr>
        <w:t xml:space="preserve"/>
      </w:r>
    </w:p>
    <w:p>
      <w:pPr>
        <w:pStyle w:val="Heading2"/>
        <w:spacing w:after="160" w:before="320"/>
      </w:pPr>
      <w:r>
        <w:rPr>
          <w:rFonts w:ascii="Arial" w:cs="Arial" w:eastAsia="Arial" w:hAnsi="Arial"/>
          <w:b/>
          <w:bCs/>
          <w:color w:val="1F3A5F"/>
          <w:sz w:val="28"/>
          <w:szCs w:val="28"/>
        </w:rPr>
        <w:t xml:space="preserve">B.6.2  Cómo se elige el patrón</w:t>
      </w:r>
    </w:p>
    <w:p>
      <w:pPr>
        <w:spacing w:after="120" w:before="60" w:line="300"/>
      </w:pPr>
      <w:r>
        <w:rPr>
          <w:rFonts w:ascii="Arial" w:cs="Arial" w:eastAsia="Arial" w:hAnsi="Arial"/>
          <w:color w:val="2D2D2D"/>
          <w:sz w:val="22"/>
          <w:szCs w:val="22"/>
        </w:rPr>
        <w:t xml:space="preserve">La elección del patrón sigue dos reglas. Primera: arrancar con el patrón más conservador (asistente o copiloto) y mover hacia patrones más autónomos (agente o decisor) solo con evidencia operativa que lo justifique. Segunda: el patrón debe ser proporcional al blast radius. Decisiones de alto impacto sobre personas (crédito, salud, empleo) raramente deben llegar a "decisor con auditor"; debe permanecer al menos en "agente con override" o "copiloto". El movimiento del patrón hacia mayor autonomía requiere aprobación explícita del comité de IA y puede revertirse.</w:t>
      </w:r>
    </w:p>
    <w:p>
      <w:pPr>
        <w:pStyle w:val="Heading2"/>
        <w:spacing w:after="160" w:before="320"/>
      </w:pPr>
      <w:r>
        <w:rPr>
          <w:rFonts w:ascii="Arial" w:cs="Arial" w:eastAsia="Arial" w:hAnsi="Arial"/>
          <w:b/>
          <w:bCs/>
          <w:color w:val="1F3A5F"/>
          <w:sz w:val="28"/>
          <w:szCs w:val="28"/>
        </w:rPr>
        <w:t xml:space="preserve">B.6.3  Calibración de confianza</w:t>
      </w:r>
    </w:p>
    <w:p>
      <w:pPr>
        <w:spacing w:after="120" w:before="60" w:line="300"/>
      </w:pPr>
      <w:r>
        <w:rPr>
          <w:rFonts w:ascii="Arial" w:cs="Arial" w:eastAsia="Arial" w:hAnsi="Arial"/>
          <w:color w:val="2D2D2D"/>
          <w:sz w:val="22"/>
          <w:szCs w:val="22"/>
        </w:rPr>
        <w:t xml:space="preserve">La confianza apropiada en una solución de IA es la que es proporcional a su capacidad real. Confianza excesiva produce automation bias (aceptar sin verificar); confianza insuficiente produce no-uso. Tres mecanismos calibran:</w:t>
      </w:r>
    </w:p>
    <w:p>
      <w:pPr>
        <w:pStyle w:val="ListParagraph"/>
        <w:numPr>
          <w:ilvl w:val="0"/>
          <w:numId w:val="2"/>
        </w:numPr>
        <w:spacing w:after="80" w:before="40" w:line="280"/>
      </w:pPr>
      <w:r>
        <w:rPr>
          <w:rFonts w:ascii="Arial" w:cs="Arial" w:eastAsia="Arial" w:hAnsi="Arial"/>
          <w:b/>
          <w:bCs/>
        </w:rPr>
        <w:t xml:space="preserve">Trazabilidad de la respuesta: </w:t>
      </w:r>
      <w:r>
        <w:rPr>
          <w:rFonts w:ascii="Arial" w:cs="Arial" w:eastAsia="Arial" w:hAnsi="Arial"/>
          <w:color w:val="2D2D2D"/>
          <w:sz w:val="22"/>
          <w:szCs w:val="22"/>
        </w:rPr>
        <w:t xml:space="preserve">el usuario puede ver por qué el sistema respondió lo que respondió (citas en RAG, factores en scoring, ejemplos similares en clasificación).</w:t>
      </w:r>
    </w:p>
    <w:p>
      <w:pPr>
        <w:pStyle w:val="ListParagraph"/>
        <w:numPr>
          <w:ilvl w:val="0"/>
          <w:numId w:val="2"/>
        </w:numPr>
        <w:spacing w:after="80" w:before="40" w:line="280"/>
      </w:pPr>
      <w:r>
        <w:rPr>
          <w:rFonts w:ascii="Arial" w:cs="Arial" w:eastAsia="Arial" w:hAnsi="Arial"/>
          <w:b/>
          <w:bCs/>
        </w:rPr>
        <w:t xml:space="preserve">Confianza expresada: </w:t>
      </w:r>
      <w:r>
        <w:rPr>
          <w:rFonts w:ascii="Arial" w:cs="Arial" w:eastAsia="Arial" w:hAnsi="Arial"/>
          <w:color w:val="2D2D2D"/>
          <w:sz w:val="22"/>
          <w:szCs w:val="22"/>
        </w:rPr>
        <w:t xml:space="preserve">el sistema declara explícitamente el nivel de certeza de su respuesta, y se calla cuando no sabe.</w:t>
      </w:r>
    </w:p>
    <w:p>
      <w:pPr>
        <w:pStyle w:val="ListParagraph"/>
        <w:numPr>
          <w:ilvl w:val="0"/>
          <w:numId w:val="2"/>
        </w:numPr>
        <w:spacing w:after="80" w:before="40" w:line="280"/>
      </w:pPr>
      <w:r>
        <w:rPr>
          <w:rFonts w:ascii="Arial" w:cs="Arial" w:eastAsia="Arial" w:hAnsi="Arial"/>
          <w:b/>
          <w:bCs/>
        </w:rPr>
        <w:t xml:space="preserve">Feedback loop: </w:t>
      </w:r>
      <w:r>
        <w:rPr>
          <w:rFonts w:ascii="Arial" w:cs="Arial" w:eastAsia="Arial" w:hAnsi="Arial"/>
          <w:color w:val="2D2D2D"/>
          <w:sz w:val="22"/>
          <w:szCs w:val="22"/>
        </w:rPr>
        <w:t xml:space="preserve">cuando el usuario corrige al sistema, la corrección se captura y se usa, y el usuario lo nota. La sensación de "hablarle a una pared" mata la adopción.</w:t>
      </w:r>
    </w:p>
    <w:p>
      <w:pPr>
        <w:pStyle w:val="Heading2"/>
        <w:spacing w:after="160" w:before="320"/>
      </w:pPr>
      <w:r>
        <w:rPr>
          <w:rFonts w:ascii="Arial" w:cs="Arial" w:eastAsia="Arial" w:hAnsi="Arial"/>
          <w:b/>
          <w:bCs/>
          <w:color w:val="1F3A5F"/>
          <w:sz w:val="28"/>
          <w:szCs w:val="28"/>
        </w:rPr>
        <w:t xml:space="preserve">B.6.4  Design Thinking aplicado a IA y explicabilidad visual</w:t>
      </w:r>
    </w:p>
    <w:p>
      <w:pPr>
        <w:spacing w:after="180" w:before="120" w:line="320"/>
      </w:pPr>
      <w:r>
        <w:rPr>
          <w:rFonts w:ascii="Arial" w:cs="Arial" w:eastAsia="Arial" w:hAnsi="Arial"/>
          <w:color w:val="2D2D2D"/>
          <w:sz w:val="24"/>
          <w:szCs w:val="24"/>
        </w:rPr>
        <w:t xml:space="preserve">La IA no es software tradicional. Es probabilística por naturaleza, y una interfaz que oculta esa naturaleza genera frustración cada vez que la respuesta no es la esperada. El diseño de la experiencia debe abrazar la incertidumbre, no esconderla. Esta sección extiende el Design Thinking clásico con cuatro dimensiones específicas para soluciones de IA y un conjunto de principios visuales de XAI.</w:t>
      </w:r>
    </w:p>
    <w:p>
      <w:pPr>
        <w:pStyle w:val="Heading3"/>
        <w:spacing w:after="100" w:before="200"/>
      </w:pPr>
      <w:r>
        <w:rPr>
          <w:rFonts w:ascii="Arial" w:cs="Arial" w:eastAsia="Arial" w:hAnsi="Arial"/>
          <w:b/>
          <w:bCs/>
          <w:color w:val="2E75B6"/>
          <w:sz w:val="24"/>
          <w:szCs w:val="24"/>
        </w:rPr>
        <w:t xml:space="preserve">Por qué Design Thinking clásico no alcanza</w:t>
      </w:r>
    </w:p>
    <w:p>
      <w:pPr>
        <w:spacing w:after="120" w:before="60" w:line="300"/>
      </w:pPr>
      <w:r>
        <w:rPr>
          <w:rFonts w:ascii="Arial" w:cs="Arial" w:eastAsia="Arial" w:hAnsi="Arial"/>
          <w:color w:val="2D2D2D"/>
          <w:sz w:val="22"/>
          <w:szCs w:val="22"/>
        </w:rPr>
        <w:t xml:space="preserve">Design Thinking tradicional asume que el software es determinístico: el usuario hace una acción, el sistema responde de forma predecible. La IA rompe ese supuesto. La misma entrada puede producir respuestas distintas; algunas serán brillantes, otras erróneas, otras inciertas. Si la interfaz se diseña como si todo fuera determinístico, el usuario interpreta cada error como una falla del sistema en lugar de como una característica de la naturaleza probabilística del modelo. El resultado: pérdida de confianza, abandono y, en el peor de los casos, decisiones incorrectas tomadas con falsa certeza.</w:t>
      </w:r>
    </w:p>
    <w:p>
      <w:pPr>
        <w:pStyle w:val="Heading3"/>
        <w:spacing w:after="100" w:before="200"/>
      </w:pPr>
      <w:r>
        <w:rPr>
          <w:rFonts w:ascii="Arial" w:cs="Arial" w:eastAsia="Arial" w:hAnsi="Arial"/>
          <w:b/>
          <w:bCs/>
          <w:color w:val="2E75B6"/>
          <w:sz w:val="24"/>
          <w:szCs w:val="24"/>
        </w:rPr>
        <w:t xml:space="preserve">Las cuatro dimensiones del Design Thinking para IA</w:t>
      </w:r>
    </w:p>
    <w:p>
      <w:pPr>
        <w:pStyle w:val="ListParagraph"/>
        <w:numPr>
          <w:ilvl w:val="0"/>
          <w:numId w:val="2"/>
        </w:numPr>
        <w:spacing w:after="80" w:before="40" w:line="280"/>
      </w:pPr>
      <w:r>
        <w:rPr>
          <w:rFonts w:ascii="Arial" w:cs="Arial" w:eastAsia="Arial" w:hAnsi="Arial"/>
          <w:b/>
          <w:bCs/>
        </w:rPr>
        <w:t xml:space="preserve">Diseño para la incertidumbre: </w:t>
      </w:r>
      <w:r>
        <w:rPr>
          <w:rFonts w:ascii="Arial" w:cs="Arial" w:eastAsia="Arial" w:hAnsi="Arial"/>
          <w:color w:val="2D2D2D"/>
          <w:sz w:val="22"/>
          <w:szCs w:val="22"/>
        </w:rPr>
        <w:t xml:space="preserve">comunicar visualmente cuán confiable es una respuesta. No es solo mostrar un porcentaje; es traducir la confianza a un lenguaje accionable para el usuario ("alta", "verifique antes de actuar", "no concluyente").</w:t>
      </w:r>
    </w:p>
    <w:p>
      <w:pPr>
        <w:pStyle w:val="ListParagraph"/>
        <w:numPr>
          <w:ilvl w:val="0"/>
          <w:numId w:val="2"/>
        </w:numPr>
        <w:spacing w:after="80" w:before="40" w:line="280"/>
      </w:pPr>
      <w:r>
        <w:rPr>
          <w:rFonts w:ascii="Arial" w:cs="Arial" w:eastAsia="Arial" w:hAnsi="Arial"/>
          <w:b/>
          <w:bCs/>
        </w:rPr>
        <w:t xml:space="preserve">Diseño para el error gracioso: </w:t>
      </w:r>
      <w:r>
        <w:rPr>
          <w:rFonts w:ascii="Arial" w:cs="Arial" w:eastAsia="Arial" w:hAnsi="Arial"/>
          <w:color w:val="2D2D2D"/>
          <w:sz w:val="22"/>
          <w:szCs w:val="22"/>
        </w:rPr>
        <w:t xml:space="preserve">qué pasa cuando el modelo no sabe, se equivoca o detecta que está fuera de su alcance. La interfaz debe tener "estados de no-respuesta" tan cuidados como sus estados de éxito.</w:t>
      </w:r>
    </w:p>
    <w:p>
      <w:pPr>
        <w:pStyle w:val="ListParagraph"/>
        <w:numPr>
          <w:ilvl w:val="0"/>
          <w:numId w:val="2"/>
        </w:numPr>
        <w:spacing w:after="80" w:before="40" w:line="280"/>
      </w:pPr>
      <w:r>
        <w:rPr>
          <w:rFonts w:ascii="Arial" w:cs="Arial" w:eastAsia="Arial" w:hAnsi="Arial"/>
          <w:b/>
          <w:bCs/>
        </w:rPr>
        <w:t xml:space="preserve">Diseño para la exploración del razonamiento: </w:t>
      </w:r>
      <w:r>
        <w:rPr>
          <w:rFonts w:ascii="Arial" w:cs="Arial" w:eastAsia="Arial" w:hAnsi="Arial"/>
          <w:color w:val="2D2D2D"/>
          <w:sz w:val="22"/>
          <w:szCs w:val="22"/>
        </w:rPr>
        <w:t xml:space="preserve">permitir que el usuario "vea" por qué el modelo respondió lo que respondió, sin necesidad de conocimiento técnico. Es la dimensión visual de la explicabilidad (XAI).</w:t>
      </w:r>
    </w:p>
    <w:p>
      <w:pPr>
        <w:pStyle w:val="ListParagraph"/>
        <w:numPr>
          <w:ilvl w:val="0"/>
          <w:numId w:val="2"/>
        </w:numPr>
        <w:spacing w:after="80" w:before="40" w:line="280"/>
      </w:pPr>
      <w:r>
        <w:rPr>
          <w:rFonts w:ascii="Arial" w:cs="Arial" w:eastAsia="Arial" w:hAnsi="Arial"/>
          <w:b/>
          <w:bCs/>
        </w:rPr>
        <w:t xml:space="preserve">Diseño para la colaboración humano-modelo: </w:t>
      </w:r>
      <w:r>
        <w:rPr>
          <w:rFonts w:ascii="Arial" w:cs="Arial" w:eastAsia="Arial" w:hAnsi="Arial"/>
          <w:color w:val="2D2D2D"/>
          <w:sz w:val="22"/>
          <w:szCs w:val="22"/>
        </w:rPr>
        <w:t xml:space="preserve">dejar espacio para que el usuario ajuste, corrija o desafíe la respuesta. La interfaz debe sentirse como un diálogo, no como un veredicto.</w:t>
      </w:r>
    </w:p>
    <w:p>
      <w:pPr>
        <w:pStyle w:val="Heading3"/>
        <w:spacing w:after="100" w:before="200"/>
      </w:pPr>
      <w:r>
        <w:rPr>
          <w:rFonts w:ascii="Arial" w:cs="Arial" w:eastAsia="Arial" w:hAnsi="Arial"/>
          <w:b/>
          <w:bCs/>
          <w:color w:val="2E75B6"/>
          <w:sz w:val="24"/>
          <w:szCs w:val="24"/>
        </w:rPr>
        <w:t xml:space="preserve">XAI visual: cinco patrones de explicabilidad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rPr>
          <w:tblHeader/>
        </w:trPr>
        <w:tc>
          <w:tcPr>
            <w:tcW w:type="dxa" w:w="216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Patrón</w:t>
            </w:r>
          </w:p>
        </w:tc>
        <w:tc>
          <w:tcPr>
            <w:tcW w:type="dxa" w:w="360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Qué hace</w:t>
            </w:r>
          </w:p>
        </w:tc>
        <w:tc>
          <w:tcPr>
            <w:tcW w:type="dxa" w:w="360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Aplica especialmente a</w:t>
            </w:r>
          </w:p>
        </w:tc>
      </w:tr>
      <w:tr>
        <w:trPr>
          <w:tblHeader w:val="false"/>
        </w:trP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Citas trazables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Cada afirmación enlaza visualmente al fragmento del documento o registro de origen.</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RAG y asistentes documentales</w:t>
            </w:r>
          </w:p>
        </w:tc>
      </w:tr>
      <w:tr>
        <w:trPr>
          <w:tblHeader w:val="false"/>
        </w:trPr>
        <w:tc>
          <w:tcPr>
            <w:tcW w:type="dxa" w:w="216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Factores influyentes</w:t>
            </w:r>
          </w:p>
        </w:tc>
        <w:tc>
          <w:tcPr>
            <w:tcW w:type="dxa" w:w="36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Lista de los 3-5 factores que más empujaron la decisión, con peso visual relativo.</w:t>
            </w:r>
          </w:p>
        </w:tc>
        <w:tc>
          <w:tcPr>
            <w:tcW w:type="dxa" w:w="36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Scoring, clasificación, recomendación</w:t>
            </w:r>
          </w:p>
        </w:tc>
      </w:tr>
      <w:tr>
        <w:trPr>
          <w:tblHeader w:val="false"/>
        </w:trP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Ejemplos similares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Mostrar 2-3 casos pasados parecidos al actual y cómo se resolvieron.</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Clasificación, predicción</w:t>
            </w:r>
          </w:p>
        </w:tc>
      </w:tr>
      <w:tr>
        <w:trPr>
          <w:tblHeader w:val="false"/>
        </w:trPr>
        <w:tc>
          <w:tcPr>
            <w:tcW w:type="dxa" w:w="216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Confianza visual</w:t>
            </w:r>
          </w:p>
        </w:tc>
        <w:tc>
          <w:tcPr>
            <w:tcW w:type="dxa" w:w="36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Indicador gráfico (no solo numérico) del nivel de certeza, con código de color y mensaje accionable.</w:t>
            </w:r>
          </w:p>
        </w:tc>
        <w:tc>
          <w:tcPr>
            <w:tcW w:type="dxa" w:w="36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Toda solución de IA</w:t>
            </w:r>
          </w:p>
        </w:tc>
      </w:tr>
      <w:tr>
        <w:trPr>
          <w:tblHeader w:val="false"/>
        </w:trP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Comparación contrafactual</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"Si X hubiera sido distinto, la respuesta habría cambiado a Y". Permite explorar sensibilidad.</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Decisiones con explicabilidad regulatoria estricta</w:t>
            </w:r>
          </w:p>
        </w:tc>
      </w:tr>
    </w:tbl>
    <w:p>
      <w:pPr>
        <w:spacing w:after="0" w:before="200"/>
      </w:pPr>
      <w:r>
        <w:rPr>
          <w:rFonts w:ascii="Arial" w:cs="Arial" w:eastAsia="Arial" w:hAnsi="Arial"/>
        </w:rPr>
        <w:t xml:space="preserve"/>
      </w:r>
    </w:p>
    <w:p>
      <w:pPr>
        <w:pStyle w:val="Heading3"/>
        <w:spacing w:after="100" w:before="200"/>
      </w:pPr>
      <w:r>
        <w:rPr>
          <w:rFonts w:ascii="Arial" w:cs="Arial" w:eastAsia="Arial" w:hAnsi="Arial"/>
          <w:b/>
          <w:bCs/>
          <w:color w:val="2E75B6"/>
          <w:sz w:val="24"/>
          <w:szCs w:val="24"/>
        </w:rPr>
        <w:t xml:space="preserve">Práctica recomendada: prototipo de baja fidelidad con simulación de errores</w:t>
      </w:r>
    </w:p>
    <w:p>
      <w:pPr>
        <w:spacing w:after="120" w:before="60" w:line="300"/>
      </w:pPr>
      <w:r>
        <w:rPr>
          <w:rFonts w:ascii="Arial" w:cs="Arial" w:eastAsia="Arial" w:hAnsi="Arial"/>
          <w:color w:val="2D2D2D"/>
          <w:sz w:val="22"/>
          <w:szCs w:val="22"/>
        </w:rPr>
        <w:t xml:space="preserve">Esta es la conexión entre la Parte B y la Parte A: el prototipo de baja fidelidad declarado como entregable de la Fase 1 de Descubrimiento (sección A.3.2) debe diseñarse explícitamente para que incluya, además de las respuestas correctas, los estados de incertidumbre, los errores típicos, las respuestas "no sé" y los flujos de override. Probarlo con usuarios reales antes de invertir en construcción técnica permite detectar fricciones de diseño que serían carísimas de corregir más tarde.</w:t>
      </w:r>
    </w:p>
    <w:p>
      <w:pPr>
        <w:pStyle w:val="Heading3"/>
        <w:spacing w:after="100" w:before="200"/>
      </w:pPr>
      <w:r>
        <w:rPr>
          <w:rFonts w:ascii="Arial" w:cs="Arial" w:eastAsia="Arial" w:hAnsi="Arial"/>
          <w:b/>
          <w:bCs/>
          <w:color w:val="2E75B6"/>
          <w:sz w:val="24"/>
          <w:szCs w:val="24"/>
        </w:rPr>
        <w:t xml:space="preserve">Qué debe incluir el prototipo de baja fidelidad para IA</w:t>
      </w:r>
    </w:p>
    <w:p>
      <w:pPr>
        <w:pStyle w:val="ListParagraph"/>
        <w:numPr>
          <w:ilvl w:val="0"/>
          <w:numId w:val="2"/>
        </w:numPr>
        <w:spacing w:after="80" w:before="40" w:line="280"/>
      </w:pPr>
      <w:r>
        <w:rPr>
          <w:rFonts w:ascii="Arial" w:cs="Arial" w:eastAsia="Arial" w:hAnsi="Arial"/>
          <w:color w:val="2D2D2D"/>
          <w:sz w:val="22"/>
          <w:szCs w:val="22"/>
        </w:rPr>
        <w:t xml:space="preserve">Pantalla de respuesta correcta con explicabilidad visual incorporada (al menos uno de los cinco patrones de XAI).</w:t>
      </w:r>
    </w:p>
    <w:p>
      <w:pPr>
        <w:pStyle w:val="ListParagraph"/>
        <w:numPr>
          <w:ilvl w:val="0"/>
          <w:numId w:val="2"/>
        </w:numPr>
        <w:spacing w:after="80" w:before="40" w:line="280"/>
      </w:pPr>
      <w:r>
        <w:rPr>
          <w:rFonts w:ascii="Arial" w:cs="Arial" w:eastAsia="Arial" w:hAnsi="Arial"/>
          <w:color w:val="2D2D2D"/>
          <w:sz w:val="22"/>
          <w:szCs w:val="22"/>
        </w:rPr>
        <w:t xml:space="preserve">Pantalla de respuesta incierta: cómo se ve cuando el sistema está poco seguro y qué se le pide al usuario.</w:t>
      </w:r>
    </w:p>
    <w:p>
      <w:pPr>
        <w:pStyle w:val="ListParagraph"/>
        <w:numPr>
          <w:ilvl w:val="0"/>
          <w:numId w:val="2"/>
        </w:numPr>
        <w:spacing w:after="80" w:before="40" w:line="280"/>
      </w:pPr>
      <w:r>
        <w:rPr>
          <w:rFonts w:ascii="Arial" w:cs="Arial" w:eastAsia="Arial" w:hAnsi="Arial"/>
          <w:color w:val="2D2D2D"/>
          <w:sz w:val="22"/>
          <w:szCs w:val="22"/>
        </w:rPr>
        <w:t xml:space="preserve">Pantalla de "no sé": el sistema declara que no puede responder, y ofrece alternativas (escalar a humano, reformular, consultar otra fuente).</w:t>
      </w:r>
    </w:p>
    <w:p>
      <w:pPr>
        <w:pStyle w:val="ListParagraph"/>
        <w:numPr>
          <w:ilvl w:val="0"/>
          <w:numId w:val="2"/>
        </w:numPr>
        <w:spacing w:after="80" w:before="40" w:line="280"/>
      </w:pPr>
      <w:r>
        <w:rPr>
          <w:rFonts w:ascii="Arial" w:cs="Arial" w:eastAsia="Arial" w:hAnsi="Arial"/>
          <w:color w:val="2D2D2D"/>
          <w:sz w:val="22"/>
          <w:szCs w:val="22"/>
        </w:rPr>
        <w:t xml:space="preserve">Pantalla de error detectable: cuando el sistema responde algo que el usuario sabe que está mal, cómo lo corrige y qué pasa con esa corrección.</w:t>
      </w:r>
    </w:p>
    <w:p>
      <w:pPr>
        <w:pStyle w:val="ListParagraph"/>
        <w:numPr>
          <w:ilvl w:val="0"/>
          <w:numId w:val="2"/>
        </w:numPr>
        <w:spacing w:after="80" w:before="40" w:line="280"/>
      </w:pPr>
      <w:r>
        <w:rPr>
          <w:rFonts w:ascii="Arial" w:cs="Arial" w:eastAsia="Arial" w:hAnsi="Arial"/>
          <w:color w:val="2D2D2D"/>
          <w:sz w:val="22"/>
          <w:szCs w:val="22"/>
        </w:rPr>
        <w:t xml:space="preserve">Flujo de override y feedback: la persona puede modificar la respuesta y la modificación queda capturada.</w:t>
      </w:r>
    </w:p>
    <w:p>
      <w:pPr>
        <w:pStyle w:val="ListParagraph"/>
        <w:numPr>
          <w:ilvl w:val="0"/>
          <w:numId w:val="2"/>
        </w:numPr>
        <w:spacing w:after="80" w:before="40" w:line="280"/>
      </w:pPr>
      <w:r>
        <w:rPr>
          <w:rFonts w:ascii="Arial" w:cs="Arial" w:eastAsia="Arial" w:hAnsi="Arial"/>
          <w:color w:val="2D2D2D"/>
          <w:sz w:val="22"/>
          <w:szCs w:val="22"/>
        </w:rPr>
        <w:t xml:space="preserve">Estado de baja confianza con instrucción clara al usuario: "verifique antes de actuar".</w:t>
      </w:r>
    </w:p>
    <w:p>
      <w:pPr>
        <w:pStyle w:val="Heading3"/>
        <w:spacing w:after="100" w:before="200"/>
      </w:pPr>
      <w:r>
        <w:rPr>
          <w:rFonts w:ascii="Arial" w:cs="Arial" w:eastAsia="Arial" w:hAnsi="Arial"/>
          <w:b/>
          <w:bCs/>
          <w:color w:val="2E75B6"/>
          <w:sz w:val="24"/>
          <w:szCs w:val="24"/>
        </w:rPr>
        <w:t xml:space="preserve">Los cinco principios de UX para soluciones de IA</w:t>
      </w:r>
    </w:p>
    <w:p>
      <w:pPr>
        <w:pStyle w:val="ListParagraph"/>
        <w:numPr>
          <w:ilvl w:val="0"/>
          <w:numId w:val="2"/>
        </w:numPr>
        <w:spacing w:after="80" w:before="40" w:line="280"/>
      </w:pPr>
      <w:r>
        <w:rPr>
          <w:rFonts w:ascii="Arial" w:cs="Arial" w:eastAsia="Arial" w:hAnsi="Arial"/>
          <w:b/>
          <w:bCs/>
        </w:rPr>
        <w:t xml:space="preserve">Mostrar confianza, no solo respuesta. </w:t>
      </w:r>
      <w:r>
        <w:rPr>
          <w:rFonts w:ascii="Arial" w:cs="Arial" w:eastAsia="Arial" w:hAnsi="Arial"/>
          <w:color w:val="2D2D2D"/>
          <w:sz w:val="22"/>
          <w:szCs w:val="22"/>
        </w:rPr>
        <w:t xml:space="preserve">Cada salida del modelo va acompañada de un indicador de certeza visualmente legible.</w:t>
      </w:r>
    </w:p>
    <w:p>
      <w:pPr>
        <w:pStyle w:val="ListParagraph"/>
        <w:numPr>
          <w:ilvl w:val="0"/>
          <w:numId w:val="2"/>
        </w:numPr>
        <w:spacing w:after="80" w:before="40" w:line="280"/>
      </w:pPr>
      <w:r>
        <w:rPr>
          <w:rFonts w:ascii="Arial" w:cs="Arial" w:eastAsia="Arial" w:hAnsi="Arial"/>
          <w:b/>
          <w:bCs/>
        </w:rPr>
        <w:t xml:space="preserve">Permitir cuestionar. </w:t>
      </w:r>
      <w:r>
        <w:rPr>
          <w:rFonts w:ascii="Arial" w:cs="Arial" w:eastAsia="Arial" w:hAnsi="Arial"/>
          <w:color w:val="2D2D2D"/>
          <w:sz w:val="22"/>
          <w:szCs w:val="22"/>
        </w:rPr>
        <w:t xml:space="preserve">El usuario tiene siempre un camino fácil para desafiar la respuesta y aportar contexto adicional.</w:t>
      </w:r>
    </w:p>
    <w:p>
      <w:pPr>
        <w:pStyle w:val="ListParagraph"/>
        <w:numPr>
          <w:ilvl w:val="0"/>
          <w:numId w:val="2"/>
        </w:numPr>
        <w:spacing w:after="80" w:before="40" w:line="280"/>
      </w:pPr>
      <w:r>
        <w:rPr>
          <w:rFonts w:ascii="Arial" w:cs="Arial" w:eastAsia="Arial" w:hAnsi="Arial"/>
          <w:b/>
          <w:bCs/>
        </w:rPr>
        <w:t xml:space="preserve">Hacer evidente el alcance. </w:t>
      </w:r>
      <w:r>
        <w:rPr>
          <w:rFonts w:ascii="Arial" w:cs="Arial" w:eastAsia="Arial" w:hAnsi="Arial"/>
          <w:color w:val="2D2D2D"/>
          <w:sz w:val="22"/>
          <w:szCs w:val="22"/>
        </w:rPr>
        <w:t xml:space="preserve">Las capacidades y los límites del sistema están comunicados desde la primera interacción, no escondidos en términos legales.</w:t>
      </w:r>
    </w:p>
    <w:p>
      <w:pPr>
        <w:pStyle w:val="ListParagraph"/>
        <w:numPr>
          <w:ilvl w:val="0"/>
          <w:numId w:val="2"/>
        </w:numPr>
        <w:spacing w:after="80" w:before="40" w:line="280"/>
      </w:pPr>
      <w:r>
        <w:rPr>
          <w:rFonts w:ascii="Arial" w:cs="Arial" w:eastAsia="Arial" w:hAnsi="Arial"/>
          <w:b/>
          <w:bCs/>
        </w:rPr>
        <w:t xml:space="preserve">Revelar el razonamiento sin requerir conocimiento técnico. </w:t>
      </w:r>
      <w:r>
        <w:rPr>
          <w:rFonts w:ascii="Arial" w:cs="Arial" w:eastAsia="Arial" w:hAnsi="Arial"/>
          <w:color w:val="2D2D2D"/>
          <w:sz w:val="22"/>
          <w:szCs w:val="22"/>
        </w:rPr>
        <w:t xml:space="preserve">La explicabilidad es para el usuario de negocio, no para el científico de datos.</w:t>
      </w:r>
    </w:p>
    <w:p>
      <w:pPr>
        <w:pStyle w:val="ListParagraph"/>
        <w:numPr>
          <w:ilvl w:val="0"/>
          <w:numId w:val="2"/>
        </w:numPr>
        <w:spacing w:after="80" w:before="40" w:line="280"/>
      </w:pPr>
      <w:r>
        <w:rPr>
          <w:rFonts w:ascii="Arial" w:cs="Arial" w:eastAsia="Arial" w:hAnsi="Arial"/>
          <w:b/>
          <w:bCs/>
        </w:rPr>
        <w:t xml:space="preserve">Diseñar para corrección continua. </w:t>
      </w:r>
      <w:r>
        <w:rPr>
          <w:rFonts w:ascii="Arial" w:cs="Arial" w:eastAsia="Arial" w:hAnsi="Arial"/>
          <w:color w:val="2D2D2D"/>
          <w:sz w:val="22"/>
          <w:szCs w:val="22"/>
        </w:rPr>
        <w:t xml:space="preserve">El feedback del usuario tiene un camino visible hasta el equipo de mejora del modelo, y el usuario lo percibe.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single" w:color="2E75B6" w:sz="1"/>
            </w:tcBorders>
            <w:shd w:fill="F7F9FB" w:val="clear"/>
            <w:tcMar>
              <w:top w:type="dxa" w:w="160"/>
              <w:left w:type="dxa" w:w="200"/>
              <w:bottom w:type="dxa" w:w="160"/>
              <w:right w:type="dxa" w:w="200"/>
            </w:tcMar>
          </w:tcPr>
          <w:p>
            <w:pPr>
              <w:spacing w:after="80" w:before="0"/>
            </w:pPr>
            <w:r>
              <w:rPr>
                <w:rFonts w:ascii="Arial" w:cs="Arial" w:eastAsia="Arial" w:hAnsi="Arial"/>
                <w:b/>
                <w:bCs/>
                <w:color w:val="2E75B6"/>
                <w:sz w:val="22"/>
                <w:szCs w:val="22"/>
              </w:rPr>
              <w:t xml:space="preserve">Por qué este capítulo importa</w:t>
            </w:r>
          </w:p>
          <w:p>
            <w:pPr>
              <w:spacing w:after="0" w:before="0" w:line="280"/>
            </w:pPr>
            <w:r>
              <w:rPr>
                <w:rFonts w:ascii="Arial" w:cs="Arial" w:eastAsia="Arial" w:hAnsi="Arial"/>
                <w:color w:val="2D2D2D"/>
                <w:sz w:val="22"/>
                <w:szCs w:val="22"/>
              </w:rPr>
              <w:t xml:space="preserve">La diferencia entre una solución de IA que se adopta y una que se abandona en silencio rara vez está en la calidad del modelo; está en si la interfaz convirtió la naturaleza probabilística del modelo en una experiencia confiable o en una fuente continua de fricción.</w:t>
            </w:r>
          </w:p>
        </w:tc>
      </w:tr>
    </w:tbl>
    <w:p>
      <w:pPr>
        <w:pStyle w:val="Heading1"/>
        <w:pageBreakBefore/>
        <w:spacing w:after="240" w:before="480"/>
      </w:pPr>
      <w:r>
        <w:rPr>
          <w:rFonts w:ascii="Arial" w:cs="Arial" w:eastAsia="Arial" w:hAnsi="Arial"/>
          <w:b/>
          <w:bCs/>
          <w:color w:val="1F3A5F"/>
          <w:sz w:val="36"/>
          <w:szCs w:val="36"/>
        </w:rPr>
        <w:t xml:space="preserve">B.7  Capacitación y construcción de capacidades</w:t>
      </w:r>
    </w:p>
    <w:p>
      <w:pPr>
        <w:spacing w:after="180" w:before="120" w:line="320"/>
      </w:pPr>
      <w:r>
        <w:rPr>
          <w:rFonts w:ascii="Arial" w:cs="Arial" w:eastAsia="Arial" w:hAnsi="Arial"/>
          <w:color w:val="2D2D2D"/>
          <w:sz w:val="24"/>
          <w:szCs w:val="24"/>
        </w:rPr>
        <w:t xml:space="preserve">La capacitación en proyectos de IA tiene dos errores típicos: ser demasiado técnica para los usuarios o demasiado superficial para tener efecto. El criterio es enseñar las tres cosas que importan: cómo se usa, cuándo no usarlo y qué hacer cuando algo se siente mal.</w:t>
      </w:r>
    </w:p>
    <w:p>
      <w:pPr>
        <w:pStyle w:val="Heading2"/>
        <w:spacing w:after="160" w:before="320"/>
      </w:pPr>
      <w:r>
        <w:rPr>
          <w:rFonts w:ascii="Arial" w:cs="Arial" w:eastAsia="Arial" w:hAnsi="Arial"/>
          <w:b/>
          <w:bCs/>
          <w:color w:val="1F3A5F"/>
          <w:sz w:val="28"/>
          <w:szCs w:val="28"/>
        </w:rPr>
        <w:t xml:space="preserve">B.7.1  Cuatro audiencias, cuatro currículos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520"/>
        <w:gridCol w:w="2340"/>
        <w:gridCol w:w="2340"/>
      </w:tblGrid>
      <w:tr>
        <w:trPr>
          <w:tblHeader/>
        </w:trPr>
        <w:tc>
          <w:tcPr>
            <w:tcW w:type="dxa" w:w="216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Audiencia</w:t>
            </w:r>
          </w:p>
        </w:tc>
        <w:tc>
          <w:tcPr>
            <w:tcW w:type="dxa" w:w="252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Foco del currículo</w:t>
            </w:r>
          </w:p>
        </w:tc>
        <w:tc>
          <w:tcPr>
            <w:tcW w:type="dxa" w:w="234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Formato típico</w:t>
            </w:r>
          </w:p>
        </w:tc>
        <w:tc>
          <w:tcPr>
            <w:tcW w:type="dxa" w:w="234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Duración orientativa</w:t>
            </w:r>
          </w:p>
        </w:tc>
      </w:tr>
      <w:tr>
        <w:trPr>
          <w:tblHeader w:val="false"/>
        </w:trP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Usuarios finales</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Cómo usar la solución, cuándo NO usarla, cómo desafiar la respuesta y cómo dar feedback</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Sesión inicial corta + práctica guiada + tutorial in-app</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2-4 horas inicial + acompañamiento</w:t>
            </w:r>
          </w:p>
        </w:tc>
      </w:tr>
      <w:tr>
        <w:trPr>
          <w:tblHeader w:val="false"/>
        </w:trPr>
        <w:tc>
          <w:tcPr>
            <w:tcW w:type="dxa" w:w="216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Líderes de equipo</w:t>
            </w:r>
          </w:p>
        </w:tc>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Lo anterior + interpretación de métricas + conducción de la transición + conversaciones difíciles</w:t>
            </w:r>
          </w:p>
        </w:tc>
        <w:tc>
          <w:tcPr>
            <w:tcW w:type="dxa" w:w="23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Taller con casos + coaching</w:t>
            </w:r>
          </w:p>
        </w:tc>
        <w:tc>
          <w:tcPr>
            <w:tcW w:type="dxa" w:w="23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1-2 días</w:t>
            </w:r>
          </w:p>
        </w:tc>
      </w:tr>
      <w:tr>
        <w:trPr>
          <w:tblHeader w:val="false"/>
        </w:trP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Equipos de soporte</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Diagnóstico de problemas, escalamiento, runbooks operativos básicos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Taller técnico + simulación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2-3 días</w:t>
            </w:r>
          </w:p>
        </w:tc>
      </w:tr>
      <w:tr>
        <w:trPr>
          <w:tblHeader w:val="false"/>
        </w:trPr>
        <w:tc>
          <w:tcPr>
            <w:tcW w:type="dxa" w:w="216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Comité ejecutivo</w:t>
            </w:r>
          </w:p>
        </w:tc>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Lectura de tableros, decisiones de gobernanza, riesgos, regulación</w:t>
            </w:r>
          </w:p>
        </w:tc>
        <w:tc>
          <w:tcPr>
            <w:tcW w:type="dxa" w:w="23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Sesión ejecutiva + consultas periódicas</w:t>
            </w:r>
          </w:p>
        </w:tc>
        <w:tc>
          <w:tcPr>
            <w:tcW w:type="dxa" w:w="23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Sesión de 2 horas + ritmo continuo</w:t>
            </w:r>
          </w:p>
        </w:tc>
      </w:tr>
    </w:tbl>
    <w:p>
      <w:pPr>
        <w:spacing w:after="0" w:before="240"/>
      </w:pPr>
      <w:r>
        <w:rPr>
          <w:rFonts w:ascii="Arial" w:cs="Arial" w:eastAsia="Arial" w:hAnsi="Arial"/>
        </w:rPr>
        <w:t xml:space="preserve"/>
      </w:r>
    </w:p>
    <w:p>
      <w:pPr>
        <w:pStyle w:val="Heading2"/>
        <w:spacing w:after="160" w:before="320"/>
      </w:pPr>
      <w:r>
        <w:rPr>
          <w:rFonts w:ascii="Arial" w:cs="Arial" w:eastAsia="Arial" w:hAnsi="Arial"/>
          <w:b/>
          <w:bCs/>
          <w:color w:val="1F3A5F"/>
          <w:sz w:val="28"/>
          <w:szCs w:val="28"/>
        </w:rPr>
        <w:t xml:space="preserve">B.7.2  Principios de capacitación efectiva</w:t>
      </w:r>
    </w:p>
    <w:p>
      <w:pPr>
        <w:pStyle w:val="ListParagraph"/>
        <w:numPr>
          <w:ilvl w:val="0"/>
          <w:numId w:val="2"/>
        </w:numPr>
        <w:spacing w:after="80" w:before="40" w:line="280"/>
      </w:pPr>
      <w:r>
        <w:rPr>
          <w:rFonts w:ascii="Arial" w:cs="Arial" w:eastAsia="Arial" w:hAnsi="Arial"/>
          <w:b/>
          <w:bCs/>
        </w:rPr>
        <w:t xml:space="preserve">Aprender haciendo: </w:t>
      </w:r>
      <w:r>
        <w:rPr>
          <w:rFonts w:ascii="Arial" w:cs="Arial" w:eastAsia="Arial" w:hAnsi="Arial"/>
          <w:color w:val="2D2D2D"/>
          <w:sz w:val="22"/>
          <w:szCs w:val="22"/>
        </w:rPr>
        <w:t xml:space="preserve">la práctica supervisada con casos reales supera cualquier curso teórico.</w:t>
      </w:r>
    </w:p>
    <w:p>
      <w:pPr>
        <w:pStyle w:val="ListParagraph"/>
        <w:numPr>
          <w:ilvl w:val="0"/>
          <w:numId w:val="2"/>
        </w:numPr>
        <w:spacing w:after="80" w:before="40" w:line="280"/>
      </w:pPr>
      <w:r>
        <w:rPr>
          <w:rFonts w:ascii="Arial" w:cs="Arial" w:eastAsia="Arial" w:hAnsi="Arial"/>
          <w:b/>
          <w:bCs/>
        </w:rPr>
        <w:t xml:space="preserve">Continuo, no puntual: </w:t>
      </w:r>
      <w:r>
        <w:rPr>
          <w:rFonts w:ascii="Arial" w:cs="Arial" w:eastAsia="Arial" w:hAnsi="Arial"/>
          <w:color w:val="2D2D2D"/>
          <w:sz w:val="22"/>
          <w:szCs w:val="22"/>
        </w:rPr>
        <w:t xml:space="preserve">una sola sesión inicial se olvida en semanas. Capacitación se diseña como ritmo.</w:t>
      </w:r>
    </w:p>
    <w:p>
      <w:pPr>
        <w:pStyle w:val="ListParagraph"/>
        <w:numPr>
          <w:ilvl w:val="0"/>
          <w:numId w:val="2"/>
        </w:numPr>
        <w:spacing w:after="80" w:before="40" w:line="280"/>
      </w:pPr>
      <w:r>
        <w:rPr>
          <w:rFonts w:ascii="Arial" w:cs="Arial" w:eastAsia="Arial" w:hAnsi="Arial"/>
          <w:b/>
          <w:bCs/>
        </w:rPr>
        <w:t xml:space="preserve">Embajadores internos: </w:t>
      </w:r>
      <w:r>
        <w:rPr>
          <w:rFonts w:ascii="Arial" w:cs="Arial" w:eastAsia="Arial" w:hAnsi="Arial"/>
          <w:color w:val="2D2D2D"/>
          <w:sz w:val="22"/>
          <w:szCs w:val="22"/>
        </w:rPr>
        <w:t xml:space="preserve">identificar y formar superusuarios en cada equipo. Multiplicador del esfuerzo formal.</w:t>
      </w:r>
    </w:p>
    <w:p>
      <w:pPr>
        <w:pStyle w:val="ListParagraph"/>
        <w:numPr>
          <w:ilvl w:val="0"/>
          <w:numId w:val="2"/>
        </w:numPr>
        <w:spacing w:after="80" w:before="40" w:line="280"/>
      </w:pPr>
      <w:r>
        <w:rPr>
          <w:rFonts w:ascii="Arial" w:cs="Arial" w:eastAsia="Arial" w:hAnsi="Arial"/>
          <w:b/>
          <w:bCs/>
        </w:rPr>
        <w:t xml:space="preserve">Capacitar para desafiar: </w:t>
      </w:r>
      <w:r>
        <w:rPr>
          <w:rFonts w:ascii="Arial" w:cs="Arial" w:eastAsia="Arial" w:hAnsi="Arial"/>
          <w:color w:val="2D2D2D"/>
          <w:sz w:val="22"/>
          <w:szCs w:val="22"/>
        </w:rPr>
        <w:t xml:space="preserve">explicar dónde el sistema se equivoca con frecuencia y cómo detectar señales de error. Construye confianza calibrada.</w:t>
      </w:r>
    </w:p>
    <w:p>
      <w:pPr>
        <w:pStyle w:val="Heading1"/>
        <w:pageBreakBefore/>
        <w:spacing w:after="240" w:before="480"/>
      </w:pPr>
      <w:r>
        <w:rPr>
          <w:rFonts w:ascii="Arial" w:cs="Arial" w:eastAsia="Arial" w:hAnsi="Arial"/>
          <w:b/>
          <w:bCs/>
          <w:color w:val="1F3A5F"/>
          <w:sz w:val="36"/>
          <w:szCs w:val="36"/>
        </w:rPr>
        <w:t xml:space="preserve">B.8  Métricas de adopción</w:t>
      </w:r>
    </w:p>
    <w:p>
      <w:pPr>
        <w:spacing w:after="180" w:before="120" w:line="320"/>
      </w:pPr>
      <w:r>
        <w:rPr>
          <w:rFonts w:ascii="Arial" w:cs="Arial" w:eastAsia="Arial" w:hAnsi="Arial"/>
          <w:color w:val="2D2D2D"/>
          <w:sz w:val="24"/>
          <w:szCs w:val="24"/>
        </w:rPr>
        <w:t xml:space="preserve">La adopción se mide o se imagina; no hay tercera opción. Las métricas se miran junto con las técnicas de la Parte A en un solo tablero, no en silos. Estas son las que más se usan.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80"/>
        <w:gridCol w:w="2880"/>
      </w:tblGrid>
      <w:tr>
        <w:trPr>
          <w:tblHeader/>
        </w:trPr>
        <w:tc>
          <w:tcPr>
            <w:tcW w:type="dxa" w:w="240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Métrica</w:t>
            </w:r>
          </w:p>
        </w:tc>
        <w:tc>
          <w:tcPr>
            <w:tcW w:type="dxa" w:w="408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Qué mide</w:t>
            </w:r>
          </w:p>
        </w:tc>
        <w:tc>
          <w:tcPr>
            <w:tcW w:type="dxa" w:w="288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Lectura típica</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Penetración</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Usuarios activos / usuarios objetivo. La métrica primaria de cualquier despliegue.</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&lt;60% indica problema de adopción</w:t>
            </w:r>
          </w:p>
        </w:tc>
      </w:tr>
      <w:tr>
        <w:trPr>
          <w:tblHeader w:val="false"/>
        </w:trPr>
        <w:tc>
          <w:tcPr>
            <w:tcW w:type="dxa" w:w="24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Frecuencia de uso</w:t>
            </w:r>
          </w:p>
        </w:tc>
        <w:tc>
          <w:tcPr>
            <w:tcW w:type="dxa" w:w="40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Cuántas veces usa cada usuario activo la solución, en una unidad de tiempo relevante (día, semana, mes).</w:t>
            </w:r>
          </w:p>
        </w:tc>
        <w:tc>
          <w:tcPr>
            <w:tcW w:type="dxa" w:w="28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Caída sostenida = pérdida de utilidad percibida</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Retención</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Porcentaje de usuarios que vuelven a usar la solución después del primer uso.</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Baja retención = onboarding o valor débil</w:t>
            </w:r>
          </w:p>
        </w:tc>
      </w:tr>
      <w:tr>
        <w:trPr>
          <w:tblHeader w:val="false"/>
        </w:trPr>
        <w:tc>
          <w:tcPr>
            <w:tcW w:type="dxa" w:w="24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Tasa de override humano</w:t>
            </w:r>
          </w:p>
        </w:tc>
        <w:tc>
          <w:tcPr>
            <w:tcW w:type="dxa" w:w="40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Porcentaje de decisiones del sistema que el humano corrige o ignora.</w:t>
            </w:r>
          </w:p>
        </w:tc>
        <w:tc>
          <w:tcPr>
            <w:tcW w:type="dxa" w:w="28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Muy alta = baja confianza; muy baja = automation bias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Tasa de fallback manual</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Porcentaje de casos donde el usuario abandona la solución y vuelve al modo viejo.</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Indicador temprano de pérdida de confianza</w:t>
            </w:r>
          </w:p>
        </w:tc>
      </w:tr>
      <w:tr>
        <w:trPr>
          <w:tblHeader w:val="false"/>
        </w:trPr>
        <w:tc>
          <w:tcPr>
            <w:tcW w:type="dxa" w:w="24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NPS interno</w:t>
            </w:r>
          </w:p>
        </w:tc>
        <w:tc>
          <w:tcPr>
            <w:tcW w:type="dxa" w:w="40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Recomendación neta de los usuarios. Captura la percepción global.</w:t>
            </w:r>
          </w:p>
        </w:tc>
        <w:tc>
          <w:tcPr>
            <w:tcW w:type="dxa" w:w="28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Trayectoria importa más que el número absoluto</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Time-to-proficiency</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Tiempo desde que un usuario comienza a usar la solución hasta que la usa con autonomía.</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Calibra el esfuerzo de capacitación</w:t>
            </w:r>
          </w:p>
        </w:tc>
      </w:tr>
      <w:tr>
        <w:trPr>
          <w:tblHeader w:val="false"/>
        </w:trPr>
        <w:tc>
          <w:tcPr>
            <w:tcW w:type="dxa" w:w="24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Valor entregado por usuario</w:t>
            </w:r>
          </w:p>
        </w:tc>
        <w:tc>
          <w:tcPr>
            <w:tcW w:type="dxa" w:w="40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Métrica del business case por usuario activo.</w:t>
            </w:r>
          </w:p>
        </w:tc>
        <w:tc>
          <w:tcPr>
            <w:tcW w:type="dxa" w:w="28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Cierra el lazo con el caso de negocio</w:t>
            </w:r>
          </w:p>
        </w:tc>
      </w:tr>
    </w:tbl>
    <w:p>
      <w:pPr>
        <w:spacing w:after="0" w:before="2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single" w:color="2E75B6" w:sz="1"/>
            </w:tcBorders>
            <w:shd w:fill="F7F9FB" w:val="clear"/>
            <w:tcMar>
              <w:top w:type="dxa" w:w="160"/>
              <w:left w:type="dxa" w:w="200"/>
              <w:bottom w:type="dxa" w:w="160"/>
              <w:right w:type="dxa" w:w="200"/>
            </w:tcMar>
          </w:tcPr>
          <w:p>
            <w:pPr>
              <w:spacing w:after="80" w:before="0"/>
            </w:pPr>
            <w:r>
              <w:rPr>
                <w:rFonts w:ascii="Arial" w:cs="Arial" w:eastAsia="Arial" w:hAnsi="Arial"/>
                <w:b/>
                <w:bCs/>
                <w:color w:val="2E75B6"/>
                <w:sz w:val="22"/>
                <w:szCs w:val="22"/>
              </w:rPr>
              <w:t xml:space="preserve">El indicador maestro</w:t>
            </w:r>
          </w:p>
          <w:p>
            <w:pPr>
              <w:spacing w:after="0" w:before="0" w:line="280"/>
            </w:pPr>
            <w:r>
              <w:rPr>
                <w:rFonts w:ascii="Arial" w:cs="Arial" w:eastAsia="Arial" w:hAnsi="Arial"/>
                <w:color w:val="2D2D2D"/>
                <w:sz w:val="22"/>
                <w:szCs w:val="22"/>
              </w:rPr>
              <w:t xml:space="preserve">Penetración + retención + valor entregado por usuario son los tres números mínimos que debe ver un sponsor cada mes. Si los tres están en verde, la iniciativa es saludable. Si uno está en rojo, hay un problema accionable.</w:t>
            </w:r>
          </w:p>
        </w:tc>
      </w:tr>
    </w:tbl>
    <w:p>
      <w:pPr>
        <w:pStyle w:val="Heading1"/>
        <w:pageBreakBefore/>
        <w:spacing w:after="240" w:before="480"/>
      </w:pPr>
      <w:r>
        <w:rPr>
          <w:rFonts w:ascii="Arial" w:cs="Arial" w:eastAsia="Arial" w:hAnsi="Arial"/>
          <w:b/>
          <w:bCs/>
          <w:color w:val="1F3A5F"/>
          <w:sz w:val="36"/>
          <w:szCs w:val="36"/>
        </w:rPr>
        <w:t xml:space="preserve">B.9  Sponsor management</w:t>
      </w:r>
    </w:p>
    <w:p>
      <w:pPr>
        <w:spacing w:after="180" w:before="120" w:line="320"/>
      </w:pPr>
      <w:r>
        <w:rPr>
          <w:rFonts w:ascii="Arial" w:cs="Arial" w:eastAsia="Arial" w:hAnsi="Arial"/>
          <w:color w:val="2D2D2D"/>
          <w:sz w:val="24"/>
          <w:szCs w:val="24"/>
        </w:rPr>
        <w:t xml:space="preserve">Un sponsor débil mata más proyectos que un mal modelo. La sponsorización no es presencia honoraria; es un trabajo activo con tres responsabilidades concretas que el consultor debe gestionar.</w:t>
      </w:r>
    </w:p>
    <w:p>
      <w:pPr>
        <w:pStyle w:val="Heading2"/>
        <w:spacing w:after="160" w:before="320"/>
      </w:pPr>
      <w:r>
        <w:rPr>
          <w:rFonts w:ascii="Arial" w:cs="Arial" w:eastAsia="Arial" w:hAnsi="Arial"/>
          <w:b/>
          <w:bCs/>
          <w:color w:val="1F3A5F"/>
          <w:sz w:val="28"/>
          <w:szCs w:val="28"/>
        </w:rPr>
        <w:t xml:space="preserve">B.9.1  Las tres responsabilidades del sponsor</w:t>
      </w:r>
    </w:p>
    <w:p>
      <w:pPr>
        <w:pStyle w:val="ListParagraph"/>
        <w:numPr>
          <w:ilvl w:val="0"/>
          <w:numId w:val="2"/>
        </w:numPr>
        <w:spacing w:after="80" w:before="40" w:line="280"/>
      </w:pPr>
      <w:r>
        <w:rPr>
          <w:rFonts w:ascii="Arial" w:cs="Arial" w:eastAsia="Arial" w:hAnsi="Arial"/>
          <w:b/>
          <w:bCs/>
        </w:rPr>
        <w:t xml:space="preserve">Visión y prioridad: </w:t>
      </w:r>
      <w:r>
        <w:rPr>
          <w:rFonts w:ascii="Arial" w:cs="Arial" w:eastAsia="Arial" w:hAnsi="Arial"/>
          <w:color w:val="2D2D2D"/>
          <w:sz w:val="22"/>
          <w:szCs w:val="22"/>
        </w:rPr>
        <w:t xml:space="preserve">articula públicamente por qué este proyecto importa, lo prioriza frente a competencia interna por recursos y atención, y mantiene la coherencia entre lo que dice el proyecto y lo que dice la estrategia.</w:t>
      </w:r>
    </w:p>
    <w:p>
      <w:pPr>
        <w:pStyle w:val="ListParagraph"/>
        <w:numPr>
          <w:ilvl w:val="0"/>
          <w:numId w:val="2"/>
        </w:numPr>
        <w:spacing w:after="80" w:before="40" w:line="280"/>
      </w:pPr>
      <w:r>
        <w:rPr>
          <w:rFonts w:ascii="Arial" w:cs="Arial" w:eastAsia="Arial" w:hAnsi="Arial"/>
          <w:b/>
          <w:bCs/>
        </w:rPr>
        <w:t xml:space="preserve">Decisiones difíciles: </w:t>
      </w:r>
      <w:r>
        <w:rPr>
          <w:rFonts w:ascii="Arial" w:cs="Arial" w:eastAsia="Arial" w:hAnsi="Arial"/>
          <w:color w:val="2D2D2D"/>
          <w:sz w:val="22"/>
          <w:szCs w:val="22"/>
        </w:rPr>
        <w:t xml:space="preserve">aprueba gates, autoriza inversión, levanta bloqueos transversales y toma las decisiones que el equipo no puede tomar. Un sponsor que delega esta función es un sponsor inexistente.</w:t>
      </w:r>
    </w:p>
    <w:p>
      <w:pPr>
        <w:pStyle w:val="ListParagraph"/>
        <w:numPr>
          <w:ilvl w:val="0"/>
          <w:numId w:val="2"/>
        </w:numPr>
        <w:spacing w:after="80" w:before="40" w:line="280"/>
      </w:pPr>
      <w:r>
        <w:rPr>
          <w:rFonts w:ascii="Arial" w:cs="Arial" w:eastAsia="Arial" w:hAnsi="Arial"/>
          <w:b/>
          <w:bCs/>
        </w:rPr>
        <w:t xml:space="preserve">Cobertura política: </w:t>
      </w:r>
      <w:r>
        <w:rPr>
          <w:rFonts w:ascii="Arial" w:cs="Arial" w:eastAsia="Arial" w:hAnsi="Arial"/>
          <w:color w:val="2D2D2D"/>
          <w:sz w:val="22"/>
          <w:szCs w:val="22"/>
        </w:rPr>
        <w:t xml:space="preserve">protege al equipo cuando aparecen tensiones organizacionales, valida las decisiones impopulares, y representa el proyecto frente a comités y otros líderes.</w:t>
      </w:r>
    </w:p>
    <w:p>
      <w:pPr>
        <w:pStyle w:val="Heading2"/>
        <w:spacing w:after="160" w:before="320"/>
      </w:pPr>
      <w:r>
        <w:rPr>
          <w:rFonts w:ascii="Arial" w:cs="Arial" w:eastAsia="Arial" w:hAnsi="Arial"/>
          <w:b/>
          <w:bCs/>
          <w:color w:val="1F3A5F"/>
          <w:sz w:val="28"/>
          <w:szCs w:val="28"/>
        </w:rPr>
        <w:t xml:space="preserve">B.9.2  Señales tempranas de sponsor débil</w:t>
      </w:r>
    </w:p>
    <w:p>
      <w:pPr>
        <w:pStyle w:val="ListParagraph"/>
        <w:numPr>
          <w:ilvl w:val="0"/>
          <w:numId w:val="2"/>
        </w:numPr>
        <w:spacing w:after="80" w:before="40" w:line="280"/>
      </w:pPr>
      <w:r>
        <w:rPr>
          <w:rFonts w:ascii="Arial" w:cs="Arial" w:eastAsia="Arial" w:hAnsi="Arial"/>
          <w:color w:val="2D2D2D"/>
          <w:sz w:val="22"/>
          <w:szCs w:val="22"/>
        </w:rPr>
        <w:t xml:space="preserve">Cancela o reagenda reuniones de seguimiento más de una vez por mes.</w:t>
      </w:r>
    </w:p>
    <w:p>
      <w:pPr>
        <w:pStyle w:val="ListParagraph"/>
        <w:numPr>
          <w:ilvl w:val="0"/>
          <w:numId w:val="2"/>
        </w:numPr>
        <w:spacing w:after="80" w:before="40" w:line="280"/>
      </w:pPr>
      <w:r>
        <w:rPr>
          <w:rFonts w:ascii="Arial" w:cs="Arial" w:eastAsia="Arial" w:hAnsi="Arial"/>
          <w:color w:val="2D2D2D"/>
          <w:sz w:val="22"/>
          <w:szCs w:val="22"/>
        </w:rPr>
        <w:t xml:space="preserve">Delega decisiones de gate a un nivel inferior sin participar.</w:t>
      </w:r>
    </w:p>
    <w:p>
      <w:pPr>
        <w:pStyle w:val="ListParagraph"/>
        <w:numPr>
          <w:ilvl w:val="0"/>
          <w:numId w:val="2"/>
        </w:numPr>
        <w:spacing w:after="80" w:before="40" w:line="280"/>
      </w:pPr>
      <w:r>
        <w:rPr>
          <w:rFonts w:ascii="Arial" w:cs="Arial" w:eastAsia="Arial" w:hAnsi="Arial"/>
          <w:color w:val="2D2D2D"/>
          <w:sz w:val="22"/>
          <w:szCs w:val="22"/>
        </w:rPr>
        <w:t xml:space="preserve">Comunica el proyecto con tibieza o lo presenta como "un proyecto del área X" en lugar de como prioridad propia.</w:t>
      </w:r>
    </w:p>
    <w:p>
      <w:pPr>
        <w:pStyle w:val="ListParagraph"/>
        <w:numPr>
          <w:ilvl w:val="0"/>
          <w:numId w:val="2"/>
        </w:numPr>
        <w:spacing w:after="80" w:before="40" w:line="280"/>
      </w:pPr>
      <w:r>
        <w:rPr>
          <w:rFonts w:ascii="Arial" w:cs="Arial" w:eastAsia="Arial" w:hAnsi="Arial"/>
          <w:color w:val="2D2D2D"/>
          <w:sz w:val="22"/>
          <w:szCs w:val="22"/>
        </w:rPr>
        <w:t xml:space="preserve">No defiende el proyecto cuando aparecen tensiones presupuestarias o políticas.</w:t>
      </w:r>
    </w:p>
    <w:p>
      <w:pPr>
        <w:pStyle w:val="ListParagraph"/>
        <w:numPr>
          <w:ilvl w:val="0"/>
          <w:numId w:val="2"/>
        </w:numPr>
        <w:spacing w:after="80" w:before="40" w:line="280"/>
      </w:pPr>
      <w:r>
        <w:rPr>
          <w:rFonts w:ascii="Arial" w:cs="Arial" w:eastAsia="Arial" w:hAnsi="Arial"/>
          <w:color w:val="2D2D2D"/>
          <w:sz w:val="22"/>
          <w:szCs w:val="22"/>
        </w:rPr>
        <w:t xml:space="preserve">Se sorprende con datos del proyecto que el equipo le compartió hace tiempo.</w:t>
      </w:r>
    </w:p>
    <w:p>
      <w:pPr>
        <w:pStyle w:val="Heading2"/>
        <w:spacing w:after="160" w:before="320"/>
      </w:pPr>
      <w:r>
        <w:rPr>
          <w:rFonts w:ascii="Arial" w:cs="Arial" w:eastAsia="Arial" w:hAnsi="Arial"/>
          <w:b/>
          <w:bCs/>
          <w:color w:val="1F3A5F"/>
          <w:sz w:val="28"/>
          <w:szCs w:val="28"/>
        </w:rPr>
        <w:t xml:space="preserve">B.9.3  Cómo se gestiona el sponsor</w:t>
      </w:r>
    </w:p>
    <w:p>
      <w:pPr>
        <w:spacing w:after="120" w:before="60" w:line="300"/>
      </w:pPr>
      <w:r>
        <w:rPr>
          <w:rFonts w:ascii="Arial" w:cs="Arial" w:eastAsia="Arial" w:hAnsi="Arial"/>
          <w:color w:val="2D2D2D"/>
          <w:sz w:val="22"/>
          <w:szCs w:val="22"/>
        </w:rPr>
        <w:t xml:space="preserve">Tres prácticas. Primera: ritmo establecido (uno-a-uno mensual mínimo, comité quincenal). Segunda: agenda preparada en formato "decisiones que necesito de ti", no "informe de avance". Tercera: feedback honesto sobre su propio rol; si el sponsor está flojeando, decírselo, idealmente con un par directivo o con apoyo del consultor externo. Si el sponsor no responde a la gestión, es legítimo escalar al nivel superior; un proyecto de IA con sponsor débil va a fracasar y arrastrará al consultor.</w:t>
      </w:r>
    </w:p>
    <w:p>
      <w:pPr>
        <w:pStyle w:val="Heading1"/>
        <w:pageBreakBefore/>
        <w:spacing w:after="240" w:before="480"/>
      </w:pPr>
      <w:r>
        <w:rPr>
          <w:rFonts w:ascii="Arial" w:cs="Arial" w:eastAsia="Arial" w:hAnsi="Arial"/>
          <w:b/>
          <w:bCs/>
          <w:color w:val="1F3A5F"/>
          <w:sz w:val="36"/>
          <w:szCs w:val="36"/>
        </w:rPr>
        <w:t xml:space="preserve">Glosario y referencias</w:t>
      </w:r>
    </w:p>
    <w:p>
      <w:pPr>
        <w:pStyle w:val="Heading2"/>
        <w:spacing w:after="160" w:before="320"/>
      </w:pPr>
      <w:r>
        <w:rPr>
          <w:rFonts w:ascii="Arial" w:cs="Arial" w:eastAsia="Arial" w:hAnsi="Arial"/>
          <w:b/>
          <w:bCs/>
          <w:color w:val="1F3A5F"/>
          <w:sz w:val="28"/>
          <w:szCs w:val="28"/>
        </w:rPr>
        <w:t xml:space="preserve">Glosario operativo del Módulo 6</w:t>
      </w:r>
    </w:p>
    <w:p>
      <w:pPr>
        <w:spacing w:after="120" w:before="60" w:line="300"/>
      </w:pPr>
      <w:r>
        <w:rPr>
          <w:rFonts w:ascii="Arial" w:cs="Arial" w:eastAsia="Arial" w:hAnsi="Arial"/>
          <w:b/>
          <w:bCs/>
          <w:color w:val="1F3A5F"/>
          <w:sz w:val="22"/>
          <w:szCs w:val="22"/>
        </w:rPr>
        <w:t xml:space="preserve">ADKAR — </w:t>
      </w:r>
      <w:r>
        <w:rPr>
          <w:rFonts w:ascii="Arial" w:cs="Arial" w:eastAsia="Arial" w:hAnsi="Arial"/>
          <w:color w:val="2D2D2D"/>
          <w:sz w:val="22"/>
          <w:szCs w:val="22"/>
        </w:rPr>
        <w:t xml:space="preserve">marco de cambio individual de Prosci en 5 etapas: Awareness, Desire, Knowledge, Ability, Reinforcement.</w:t>
      </w:r>
    </w:p>
    <w:p>
      <w:pPr>
        <w:spacing w:after="120" w:before="60" w:line="300"/>
      </w:pPr>
      <w:r>
        <w:rPr>
          <w:rFonts w:ascii="Arial" w:cs="Arial" w:eastAsia="Arial" w:hAnsi="Arial"/>
          <w:b/>
          <w:bCs/>
          <w:color w:val="1F3A5F"/>
          <w:sz w:val="22"/>
          <w:szCs w:val="22"/>
        </w:rPr>
        <w:t xml:space="preserve">Automation bias — </w:t>
      </w:r>
      <w:r>
        <w:rPr>
          <w:rFonts w:ascii="Arial" w:cs="Arial" w:eastAsia="Arial" w:hAnsi="Arial"/>
          <w:color w:val="2D2D2D"/>
          <w:sz w:val="22"/>
          <w:szCs w:val="22"/>
        </w:rPr>
        <w:t xml:space="preserve">tendencia humana a aceptar sin verificar la respuesta de un sistema automatizado.</w:t>
      </w:r>
    </w:p>
    <w:p>
      <w:pPr>
        <w:spacing w:after="120" w:before="60" w:line="300"/>
      </w:pPr>
      <w:r>
        <w:rPr>
          <w:rFonts w:ascii="Arial" w:cs="Arial" w:eastAsia="Arial" w:hAnsi="Arial"/>
          <w:b/>
          <w:bCs/>
          <w:color w:val="1F3A5F"/>
          <w:sz w:val="22"/>
          <w:szCs w:val="22"/>
        </w:rPr>
        <w:t xml:space="preserve">Blast radius — </w:t>
      </w:r>
      <w:r>
        <w:rPr>
          <w:rFonts w:ascii="Arial" w:cs="Arial" w:eastAsia="Arial" w:hAnsi="Arial"/>
          <w:color w:val="2D2D2D"/>
          <w:sz w:val="22"/>
          <w:szCs w:val="22"/>
        </w:rPr>
        <w:t xml:space="preserve">magnitud del impacto de un error en una decisión automatizada.</w:t>
      </w:r>
    </w:p>
    <w:p>
      <w:pPr>
        <w:spacing w:after="120" w:before="60" w:line="300"/>
      </w:pPr>
      <w:r>
        <w:rPr>
          <w:rFonts w:ascii="Arial" w:cs="Arial" w:eastAsia="Arial" w:hAnsi="Arial"/>
          <w:b/>
          <w:bCs/>
          <w:color w:val="1F3A5F"/>
          <w:sz w:val="22"/>
          <w:szCs w:val="22"/>
        </w:rPr>
        <w:t xml:space="preserve">DPIA — </w:t>
      </w:r>
      <w:r>
        <w:rPr>
          <w:rFonts w:ascii="Arial" w:cs="Arial" w:eastAsia="Arial" w:hAnsi="Arial"/>
          <w:color w:val="2D2D2D"/>
          <w:sz w:val="22"/>
          <w:szCs w:val="22"/>
        </w:rPr>
        <w:t xml:space="preserve">Data Protection Impact Assessment, exigencia bajo GDPR para sistemas de alto riesgo.</w:t>
      </w:r>
    </w:p>
    <w:p>
      <w:pPr>
        <w:spacing w:after="120" w:before="60" w:line="300"/>
      </w:pPr>
      <w:r>
        <w:rPr>
          <w:rFonts w:ascii="Arial" w:cs="Arial" w:eastAsia="Arial" w:hAnsi="Arial"/>
          <w:b/>
          <w:bCs/>
          <w:color w:val="1F3A5F"/>
          <w:sz w:val="22"/>
          <w:szCs w:val="22"/>
        </w:rPr>
        <w:t xml:space="preserve">Drift — </w:t>
      </w:r>
      <w:r>
        <w:rPr>
          <w:rFonts w:ascii="Arial" w:cs="Arial" w:eastAsia="Arial" w:hAnsi="Arial"/>
          <w:color w:val="2D2D2D"/>
          <w:sz w:val="22"/>
          <w:szCs w:val="22"/>
        </w:rPr>
        <w:t xml:space="preserve">degradación del desempeño del modelo en producción por cambio en la distribución de los datos.</w:t>
      </w:r>
    </w:p>
    <w:p>
      <w:pPr>
        <w:spacing w:after="120" w:before="60" w:line="300"/>
      </w:pPr>
      <w:r>
        <w:rPr>
          <w:rFonts w:ascii="Arial" w:cs="Arial" w:eastAsia="Arial" w:hAnsi="Arial"/>
          <w:b/>
          <w:bCs/>
          <w:color w:val="1F3A5F"/>
          <w:sz w:val="22"/>
          <w:szCs w:val="22"/>
        </w:rPr>
        <w:t xml:space="preserve">Gate de calidad — </w:t>
      </w:r>
      <w:r>
        <w:rPr>
          <w:rFonts w:ascii="Arial" w:cs="Arial" w:eastAsia="Arial" w:hAnsi="Arial"/>
          <w:color w:val="2D2D2D"/>
          <w:sz w:val="22"/>
          <w:szCs w:val="22"/>
        </w:rPr>
        <w:t xml:space="preserve">control formal entre fases del ciclo de vida; sin pasarlo, el proyecto no avanza.</w:t>
      </w:r>
    </w:p>
    <w:p>
      <w:pPr>
        <w:spacing w:after="120" w:before="60" w:line="300"/>
      </w:pPr>
      <w:r>
        <w:rPr>
          <w:rFonts w:ascii="Arial" w:cs="Arial" w:eastAsia="Arial" w:hAnsi="Arial"/>
          <w:b/>
          <w:bCs/>
          <w:color w:val="1F3A5F"/>
          <w:sz w:val="22"/>
          <w:szCs w:val="22"/>
        </w:rPr>
        <w:t xml:space="preserve">Kotter (8 pasos) — </w:t>
      </w:r>
      <w:r>
        <w:rPr>
          <w:rFonts w:ascii="Arial" w:cs="Arial" w:eastAsia="Arial" w:hAnsi="Arial"/>
          <w:color w:val="2D2D2D"/>
          <w:sz w:val="22"/>
          <w:szCs w:val="22"/>
        </w:rPr>
        <w:t xml:space="preserve">marco de cambio organizacional de John Kotter.</w:t>
      </w:r>
    </w:p>
    <w:p>
      <w:pPr>
        <w:spacing w:after="120" w:before="60" w:line="300"/>
      </w:pPr>
      <w:r>
        <w:rPr>
          <w:rFonts w:ascii="Arial" w:cs="Arial" w:eastAsia="Arial" w:hAnsi="Arial"/>
          <w:b/>
          <w:bCs/>
          <w:color w:val="1F3A5F"/>
          <w:sz w:val="22"/>
          <w:szCs w:val="22"/>
        </w:rPr>
        <w:t xml:space="preserve">Model card — </w:t>
      </w:r>
      <w:r>
        <w:rPr>
          <w:rFonts w:ascii="Arial" w:cs="Arial" w:eastAsia="Arial" w:hAnsi="Arial"/>
          <w:color w:val="2D2D2D"/>
          <w:sz w:val="22"/>
          <w:szCs w:val="22"/>
        </w:rPr>
        <w:t xml:space="preserve">documento estandarizado que describe un modelo, sus datos, pruebas, limitaciones y riesgos.</w:t>
      </w:r>
    </w:p>
    <w:p>
      <w:pPr>
        <w:spacing w:after="120" w:before="60" w:line="300"/>
      </w:pPr>
      <w:r>
        <w:rPr>
          <w:rFonts w:ascii="Arial" w:cs="Arial" w:eastAsia="Arial" w:hAnsi="Arial"/>
          <w:b/>
          <w:bCs/>
          <w:color w:val="1F3A5F"/>
          <w:sz w:val="22"/>
          <w:szCs w:val="22"/>
        </w:rPr>
        <w:t xml:space="preserve">Prompt injection — </w:t>
      </w:r>
      <w:r>
        <w:rPr>
          <w:rFonts w:ascii="Arial" w:cs="Arial" w:eastAsia="Arial" w:hAnsi="Arial"/>
          <w:color w:val="2D2D2D"/>
          <w:sz w:val="22"/>
          <w:szCs w:val="22"/>
        </w:rPr>
        <w:t xml:space="preserve">ataque que introduce instrucciones maliciosas en la entrada de un modelo para alterar su comportamiento.</w:t>
      </w:r>
    </w:p>
    <w:p>
      <w:pPr>
        <w:spacing w:after="120" w:before="60" w:line="300"/>
      </w:pPr>
      <w:r>
        <w:rPr>
          <w:rFonts w:ascii="Arial" w:cs="Arial" w:eastAsia="Arial" w:hAnsi="Arial"/>
          <w:b/>
          <w:bCs/>
          <w:color w:val="1F3A5F"/>
          <w:sz w:val="22"/>
          <w:szCs w:val="22"/>
        </w:rPr>
        <w:t xml:space="preserve">RACI — </w:t>
      </w:r>
      <w:r>
        <w:rPr>
          <w:rFonts w:ascii="Arial" w:cs="Arial" w:eastAsia="Arial" w:hAnsi="Arial"/>
          <w:color w:val="2D2D2D"/>
          <w:sz w:val="22"/>
          <w:szCs w:val="22"/>
        </w:rPr>
        <w:t xml:space="preserve">Responsable, Aprobador, Consultado, Informado. Marco de claridad de roles.</w:t>
      </w:r>
    </w:p>
    <w:p>
      <w:pPr>
        <w:spacing w:after="120" w:before="60" w:line="300"/>
      </w:pPr>
      <w:r>
        <w:rPr>
          <w:rFonts w:ascii="Arial" w:cs="Arial" w:eastAsia="Arial" w:hAnsi="Arial"/>
          <w:b/>
          <w:bCs/>
          <w:color w:val="1F3A5F"/>
          <w:sz w:val="22"/>
          <w:szCs w:val="22"/>
        </w:rPr>
        <w:t xml:space="preserve">Runbook — </w:t>
      </w:r>
      <w:r>
        <w:rPr>
          <w:rFonts w:ascii="Arial" w:cs="Arial" w:eastAsia="Arial" w:hAnsi="Arial"/>
          <w:color w:val="2D2D2D"/>
          <w:sz w:val="22"/>
          <w:szCs w:val="22"/>
        </w:rPr>
        <w:t xml:space="preserve">procedimiento operativo documentado para gestionar un evento o incidente conocido.</w:t>
      </w:r>
    </w:p>
    <w:p>
      <w:pPr>
        <w:spacing w:after="120" w:before="60" w:line="300"/>
      </w:pPr>
      <w:r>
        <w:rPr>
          <w:rFonts w:ascii="Arial" w:cs="Arial" w:eastAsia="Arial" w:hAnsi="Arial"/>
          <w:b/>
          <w:bCs/>
          <w:color w:val="1F3A5F"/>
          <w:sz w:val="22"/>
          <w:szCs w:val="22"/>
        </w:rPr>
        <w:t xml:space="preserve">SLA — </w:t>
      </w:r>
      <w:r>
        <w:rPr>
          <w:rFonts w:ascii="Arial" w:cs="Arial" w:eastAsia="Arial" w:hAnsi="Arial"/>
          <w:color w:val="2D2D2D"/>
          <w:sz w:val="22"/>
          <w:szCs w:val="22"/>
        </w:rPr>
        <w:t xml:space="preserve">Service Level Agreement; acuerdo de nivel de servicio.</w:t>
      </w:r>
    </w:p>
    <w:p>
      <w:pPr>
        <w:spacing w:after="120" w:before="60" w:line="300"/>
      </w:pPr>
      <w:r>
        <w:rPr>
          <w:rFonts w:ascii="Arial" w:cs="Arial" w:eastAsia="Arial" w:hAnsi="Arial"/>
          <w:b/>
          <w:bCs/>
          <w:color w:val="1F3A5F"/>
          <w:sz w:val="22"/>
          <w:szCs w:val="22"/>
        </w:rPr>
        <w:t xml:space="preserve">Sponsor — </w:t>
      </w:r>
      <w:r>
        <w:rPr>
          <w:rFonts w:ascii="Arial" w:cs="Arial" w:eastAsia="Arial" w:hAnsi="Arial"/>
          <w:color w:val="2D2D2D"/>
          <w:sz w:val="22"/>
          <w:szCs w:val="22"/>
        </w:rPr>
        <w:t xml:space="preserve">patrocinador ejecutivo del proyecto; con autoridad, recursos y rendición de cuentas.</w:t>
      </w:r>
    </w:p>
    <w:p>
      <w:pPr>
        <w:spacing w:after="120" w:before="60" w:line="300"/>
      </w:pPr>
      <w:r>
        <w:rPr>
          <w:rFonts w:ascii="Arial" w:cs="Arial" w:eastAsia="Arial" w:hAnsi="Arial"/>
          <w:b/>
          <w:bCs/>
          <w:color w:val="1F3A5F"/>
          <w:sz w:val="22"/>
          <w:szCs w:val="22"/>
        </w:rPr>
        <w:t xml:space="preserve">Transición (Bridges) — </w:t>
      </w:r>
      <w:r>
        <w:rPr>
          <w:rFonts w:ascii="Arial" w:cs="Arial" w:eastAsia="Arial" w:hAnsi="Arial"/>
          <w:color w:val="2D2D2D"/>
          <w:sz w:val="22"/>
          <w:szCs w:val="22"/>
        </w:rPr>
        <w:t xml:space="preserve">marco de cambio psicológico de William Bridges: ending, neutral zone, new beginning.</w:t>
      </w:r>
    </w:p>
    <w:p>
      <w:pPr>
        <w:pStyle w:val="Heading2"/>
        <w:spacing w:after="160" w:before="320"/>
      </w:pPr>
      <w:r>
        <w:rPr>
          <w:rFonts w:ascii="Arial" w:cs="Arial" w:eastAsia="Arial" w:hAnsi="Arial"/>
          <w:b/>
          <w:bCs/>
          <w:color w:val="1F3A5F"/>
          <w:sz w:val="28"/>
          <w:szCs w:val="28"/>
        </w:rPr>
        <w:t xml:space="preserve">Referencias</w:t>
      </w:r>
    </w:p>
    <w:p>
      <w:pPr>
        <w:pStyle w:val="ListParagraph"/>
        <w:numPr>
          <w:ilvl w:val="0"/>
          <w:numId w:val="2"/>
        </w:numPr>
        <w:spacing w:after="80" w:before="40" w:line="280"/>
      </w:pPr>
      <w:r>
        <w:rPr>
          <w:rFonts w:ascii="Arial" w:cs="Arial" w:eastAsia="Arial" w:hAnsi="Arial"/>
          <w:color w:val="2D2D2D"/>
          <w:sz w:val="22"/>
          <w:szCs w:val="22"/>
        </w:rPr>
        <w:t xml:space="preserve">Kotter, J. P. — Leading Change.</w:t>
      </w:r>
    </w:p>
    <w:p>
      <w:pPr>
        <w:pStyle w:val="ListParagraph"/>
        <w:numPr>
          <w:ilvl w:val="0"/>
          <w:numId w:val="2"/>
        </w:numPr>
        <w:spacing w:after="80" w:before="40" w:line="280"/>
      </w:pPr>
      <w:r>
        <w:rPr>
          <w:rFonts w:ascii="Arial" w:cs="Arial" w:eastAsia="Arial" w:hAnsi="Arial"/>
          <w:color w:val="2D2D2D"/>
          <w:sz w:val="22"/>
          <w:szCs w:val="22"/>
        </w:rPr>
        <w:t xml:space="preserve">Bridges, W. — Managing Transitions: Making the Most of Change.</w:t>
      </w:r>
    </w:p>
    <w:p>
      <w:pPr>
        <w:pStyle w:val="ListParagraph"/>
        <w:numPr>
          <w:ilvl w:val="0"/>
          <w:numId w:val="2"/>
        </w:numPr>
        <w:spacing w:after="80" w:before="40" w:line="280"/>
      </w:pPr>
      <w:r>
        <w:rPr>
          <w:rFonts w:ascii="Arial" w:cs="Arial" w:eastAsia="Arial" w:hAnsi="Arial"/>
          <w:color w:val="2D2D2D"/>
          <w:sz w:val="22"/>
          <w:szCs w:val="22"/>
        </w:rPr>
        <w:t xml:space="preserve">Prosci — ADKAR Model.</w:t>
      </w:r>
    </w:p>
    <w:p>
      <w:pPr>
        <w:pStyle w:val="ListParagraph"/>
        <w:numPr>
          <w:ilvl w:val="0"/>
          <w:numId w:val="2"/>
        </w:numPr>
        <w:spacing w:after="80" w:before="40" w:line="280"/>
      </w:pPr>
      <w:r>
        <w:rPr>
          <w:rFonts w:ascii="Arial" w:cs="Arial" w:eastAsia="Arial" w:hAnsi="Arial"/>
          <w:color w:val="2D2D2D"/>
          <w:sz w:val="22"/>
          <w:szCs w:val="22"/>
        </w:rPr>
        <w:t xml:space="preserve">Reglamento (UE) 2024/1689 — EU AI Act.</w:t>
      </w:r>
    </w:p>
    <w:p>
      <w:pPr>
        <w:pStyle w:val="ListParagraph"/>
        <w:numPr>
          <w:ilvl w:val="0"/>
          <w:numId w:val="2"/>
        </w:numPr>
        <w:spacing w:after="80" w:before="40" w:line="280"/>
      </w:pPr>
      <w:r>
        <w:rPr>
          <w:rFonts w:ascii="Arial" w:cs="Arial" w:eastAsia="Arial" w:hAnsi="Arial"/>
          <w:color w:val="2D2D2D"/>
          <w:sz w:val="22"/>
          <w:szCs w:val="22"/>
        </w:rPr>
        <w:t xml:space="preserve">ISO/IEC 42001:2023 — Sistema de gestión de inteligencia artificial.</w:t>
      </w:r>
    </w:p>
    <w:p>
      <w:pPr>
        <w:pStyle w:val="ListParagraph"/>
        <w:numPr>
          <w:ilvl w:val="0"/>
          <w:numId w:val="2"/>
        </w:numPr>
        <w:spacing w:after="80" w:before="40" w:line="280"/>
      </w:pPr>
      <w:r>
        <w:rPr>
          <w:rFonts w:ascii="Arial" w:cs="Arial" w:eastAsia="Arial" w:hAnsi="Arial"/>
          <w:color w:val="2D2D2D"/>
          <w:sz w:val="22"/>
          <w:szCs w:val="22"/>
        </w:rPr>
        <w:t xml:space="preserve">NIST AI Risk Management Framework.</w:t>
      </w:r>
    </w:p>
    <w:p>
      <w:pPr>
        <w:spacing w:after="0" w:before="240"/>
      </w:pPr>
      <w:r>
        <w:rPr>
          <w:rFonts w:ascii="Arial" w:cs="Arial" w:eastAsia="Arial" w:hAnsi="Arial"/>
        </w:rPr>
        <w:t xml:space="preserve"/>
      </w:r>
    </w:p>
    <w:p>
      <w:pPr>
        <w:pBdr>
          <w:bottom w:val="single" w:color="1F3A5F" w:sz="6" w:space="1"/>
        </w:pBdr>
        <w:spacing w:after="120" w:before="120"/>
      </w:pPr>
      <w:r>
        <w:rPr>
          <w:rFonts w:ascii="Arial" w:cs="Arial" w:eastAsia="Arial" w:hAnsi="Arial"/>
        </w:rPr>
        <w:t xml:space="preserve"> </w:t>
      </w:r>
    </w:p>
    <w:p>
      <w:pPr>
        <w:spacing w:after="0" w:before="120"/>
        <w:jc w:val="center"/>
      </w:pPr>
      <w:r>
        <w:rPr>
          <w:rFonts w:ascii="Arial" w:cs="Arial" w:eastAsia="Arial" w:hAnsi="Arial"/>
          <w:i/>
          <w:iCs/>
          <w:color w:val="6B7280"/>
          <w:sz w:val="22"/>
          <w:szCs w:val="22"/>
        </w:rPr>
        <w:t xml:space="preserve">Fin del Módulo 6 — Implementación y Gestión del Cambio</w:t>
      </w:r>
    </w:p>
    <w:sectPr>
      <w:headerReference w:type="default" r:id="rId11"/>
      <w:footerReference w:type="default" r:id="rId12"/>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pPr>
    <w:r>
      <w:rPr>
        <w:rFonts w:ascii="Arial" w:cs="Arial" w:eastAsia="Arial" w:hAnsi="Arial"/>
        <w:color w:val="6B7280"/>
        <w:sz w:val="18"/>
        <w:szCs w:val="18"/>
      </w:rPr>
      <w:t xml:space="preserve">Documento de referencia · v1.0</w:t>
    </w:r>
    <w:r>
      <w:rPr>
        <w:rFonts w:ascii="Arial" w:cs="Arial" w:eastAsia="Arial" w:hAnsi="Arial"/>
        <w:color w:val="6B7280"/>
        <w:sz w:val="18"/>
        <w:szCs w:val="18"/>
      </w:rPr>
      <w:t xml:space="preserve">	Página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de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4" w:space="4"/>
      </w:pBdr>
      <w:tabs>
        <w:tab w:val="right" w:pos="9360"/>
      </w:tabs>
      <w:spacing w:after="0"/>
    </w:pPr>
    <w:r>
      <w:rPr>
        <w:rFonts w:ascii="Arial" w:cs="Arial" w:eastAsia="Arial" w:hAnsi="Arial"/>
        <w:color w:val="6B7280"/>
        <w:sz w:val="18"/>
        <w:szCs w:val="18"/>
      </w:rPr>
      <w:t xml:space="preserve">Metodología de Implementación de IA  |  Módulo 6</w:t>
    </w:r>
    <w:r>
      <w:rPr>
        <w:rFonts w:ascii="Arial" w:cs="Arial" w:eastAsia="Arial" w:hAnsi="Arial"/>
        <w:i/>
        <w:iCs/>
        <w:color w:val="6B7280"/>
        <w:sz w:val="18"/>
        <w:szCs w:val="18"/>
      </w:rPr>
      <w:t xml:space="preserve">	Implementación y Gestión del Cambio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abstractNum w:abstractNumId="4" w15:restartNumberingAfterBreak="0">
    <w:multiLevelType w:val="hybridMultilevel"/>
    <w:lvl w:ilvl="0" w15:tentative="1">
      <w:start w:val="1"/>
      <w:numFmt w:val="decimal"/>
      <w:lvlText w:val="Q%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3A5F"/>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F3A5F"/>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 w:type="paragraph" w:styleId="Hyperlink">
    <w:name w:val="Hyperlink"/>
    <w:basedOn w:val="Normal"/>
    <w:rPr>
      <w:color w:val="2E75B6"/>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2026-05-01T08:49:12.004Z</dcterms:created>
  <dcterms:modified xsi:type="dcterms:W3CDTF">2026-05-01T08:49:12.005Z</dcterms:modified>
</cp:coreProperties>
</file>

<file path=docProps/custom.xml><?xml version="1.0" encoding="utf-8"?>
<Properties xmlns="http://schemas.openxmlformats.org/officeDocument/2006/custom-properties" xmlns:vt="http://schemas.openxmlformats.org/officeDocument/2006/docPropsVTypes"/>
</file>